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027D40" w:rsidP="00B66B04" w14:paraId="33437B8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3EE5D9B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12DEBAE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05B59700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226E955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0765241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4E268A9A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37A026A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15F71C40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44037F5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5539205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0B9BA85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6D95E48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2A6DD1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521D85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519AD1EA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3B73D29A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65633A8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2ACA46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2D0F0CA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27D40" w:rsidP="00B66B04" w14:paraId="3564F20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027D40" w:rsidP="00B66B04" w14:paraId="7CA5D97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027D40" w:rsidP="00B66B04" w14:paraId="0193E1A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27D40" w:rsidP="00B66B04" w14:paraId="214390AB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027D40">
        <w:rPr>
          <w:rFonts w:ascii="Times New Roman" w:hAnsi="Times New Roman"/>
        </w:rPr>
        <w:t>ANEXO IV</w:t>
      </w:r>
    </w:p>
    <w:p w:rsidR="00B66B04" w:rsidRPr="00540530" w:rsidP="00B66B04" w14:paraId="3811A5E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s-ES_tradnl"/>
        </w:rPr>
      </w:pPr>
    </w:p>
    <w:p w:rsidR="00B66B04" w:rsidRPr="00027D40" w:rsidP="00B66B04" w14:paraId="18171DC0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027D40">
        <w:rPr>
          <w:rFonts w:ascii="Times New Roman" w:hAnsi="Times New Roman"/>
        </w:rPr>
        <w:t>CONCLUSIONES CIENTÍFICAS Y MOTIVOS PARA LA MODIFICACIÓN DE LAS CONDICIONES</w:t>
      </w:r>
    </w:p>
    <w:p w:rsidR="008E146B" w:rsidRPr="00027D40" w:rsidP="00B66B04" w14:paraId="49DD03CD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027D40">
        <w:rPr>
          <w:rFonts w:ascii="Times New Roman" w:hAnsi="Times New Roman"/>
        </w:rPr>
        <w:t>DE LAS AUTORIZACIONES DE COMERCIALIZACIÓN</w:t>
      </w:r>
    </w:p>
    <w:p w:rsidR="00B66B04" w:rsidRPr="00540530" w:rsidP="00B66B04" w14:paraId="3EE79A07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  <w:lang w:val="es-ES_tradnl"/>
        </w:rPr>
      </w:pPr>
    </w:p>
    <w:p w:rsidR="00A11F98" w:rsidRPr="00027D40" w:rsidP="00B66B04" w14:paraId="560CCE1E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540530">
        <w:rPr>
          <w:rFonts w:ascii="Times New Roman" w:hAnsi="Times New Roman"/>
          <w:color w:val="339966"/>
          <w:sz w:val="22"/>
          <w:lang w:val="es-ES_tradnl"/>
        </w:rPr>
        <w:t>[This Annex IV refers to CAPs]</w:t>
      </w:r>
    </w:p>
    <w:p w:rsidR="009D60A3" w:rsidRPr="00027D40" w:rsidP="00B66B04" w14:paraId="444C2AFE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027D40" w:rsidP="00B66B04" w14:paraId="391A20CD" w14:textId="77777777">
      <w:pPr>
        <w:rPr>
          <w:rFonts w:ascii="Times New Roman" w:hAnsi="Times New Roman" w:cs="Times New Roman"/>
          <w:sz w:val="22"/>
          <w:szCs w:val="22"/>
        </w:rPr>
      </w:pPr>
    </w:p>
    <w:p w:rsidR="009D60A3" w:rsidRPr="00027D40" w:rsidP="00B66B04" w14:paraId="3A6919BC" w14:textId="77777777">
      <w:pPr>
        <w:rPr>
          <w:rFonts w:ascii="Times New Roman" w:hAnsi="Times New Roman" w:cs="Times New Roman"/>
          <w:sz w:val="22"/>
          <w:szCs w:val="22"/>
        </w:rPr>
      </w:pPr>
    </w:p>
    <w:p w:rsidR="009D60A3" w:rsidRPr="00027D40" w:rsidP="00B66B04" w14:paraId="6D0D2327" w14:textId="77777777">
      <w:pPr>
        <w:rPr>
          <w:rFonts w:ascii="Times New Roman" w:hAnsi="Times New Roman" w:cs="Times New Roman"/>
          <w:sz w:val="22"/>
          <w:szCs w:val="22"/>
        </w:rPr>
      </w:pPr>
    </w:p>
    <w:p w:rsidR="009D60A3" w:rsidRPr="00027D40" w:rsidP="00B66B04" w14:paraId="2C0A718D" w14:textId="77777777">
      <w:pPr>
        <w:rPr>
          <w:rFonts w:ascii="Times New Roman" w:hAnsi="Times New Roman" w:cs="Times New Roman"/>
          <w:sz w:val="22"/>
          <w:szCs w:val="22"/>
        </w:rPr>
      </w:pPr>
    </w:p>
    <w:p w:rsidR="009D60A3" w:rsidRPr="00027D40" w:rsidP="00B66B04" w14:paraId="27B2F4BB" w14:textId="77777777">
      <w:pPr>
        <w:rPr>
          <w:rFonts w:ascii="Times New Roman" w:hAnsi="Times New Roman" w:cs="Times New Roman"/>
          <w:sz w:val="22"/>
          <w:szCs w:val="22"/>
        </w:rPr>
      </w:pPr>
    </w:p>
    <w:p w:rsidR="009D60A3" w:rsidRPr="00027D40" w:rsidP="00B66B04" w14:paraId="176380DA" w14:textId="77777777">
      <w:pPr>
        <w:rPr>
          <w:rFonts w:ascii="Times New Roman" w:hAnsi="Times New Roman" w:cs="Times New Roman"/>
          <w:sz w:val="22"/>
          <w:szCs w:val="22"/>
        </w:rPr>
      </w:pPr>
    </w:p>
    <w:p w:rsidR="009D60A3" w:rsidRPr="00027D40" w:rsidP="00B66B04" w14:paraId="5F52F9A5" w14:textId="77777777">
      <w:pPr>
        <w:rPr>
          <w:rFonts w:ascii="Times New Roman" w:hAnsi="Times New Roman" w:cs="Times New Roman"/>
          <w:sz w:val="22"/>
          <w:szCs w:val="22"/>
        </w:rPr>
      </w:pPr>
    </w:p>
    <w:p w:rsidR="009D60A3" w:rsidRPr="00027D40" w:rsidP="00B66B04" w14:paraId="0D400F9A" w14:textId="77777777">
      <w:pPr>
        <w:rPr>
          <w:rFonts w:ascii="Times New Roman" w:hAnsi="Times New Roman" w:cs="Times New Roman"/>
          <w:sz w:val="22"/>
          <w:szCs w:val="22"/>
        </w:rPr>
      </w:pPr>
    </w:p>
    <w:p w:rsidR="008E146B" w:rsidRPr="00027D40" w:rsidP="00E7370A" w14:paraId="6DA3468F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027D40">
        <w:br w:type="page"/>
      </w:r>
      <w:r w:rsidRPr="00027D40">
        <w:rPr>
          <w:rFonts w:ascii="Times New Roman" w:hAnsi="Times New Roman"/>
          <w:b/>
          <w:i w:val="0"/>
          <w:color w:val="auto"/>
        </w:rPr>
        <w:t>Conclusiones científicas</w:t>
      </w:r>
    </w:p>
    <w:p w:rsidR="009B5CE6" w:rsidRPr="00540530" w:rsidP="00E7370A" w14:paraId="2BD6BDF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s-ES_tradnl"/>
        </w:rPr>
      </w:pPr>
    </w:p>
    <w:p w:rsidR="009B5CE6" w:rsidRPr="00027D40" w:rsidP="00E7370A" w14:paraId="684229F5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027D40">
        <w:rPr>
          <w:rFonts w:ascii="Times New Roman" w:hAnsi="Times New Roman"/>
          <w:i w:val="0"/>
          <w:color w:val="auto"/>
        </w:rPr>
        <w:t>Teniendo en cuenta lo dispuesto en el Informe de Evaluación del Comité para la Evaluación de Riesgos en Farmacovigilancia (PRAC) sobre los informes periódicos de seguridad (IPS) para {nombre del principio o principios activos}, las conclusiones científicas del PRAC son las siguientes:</w:t>
      </w:r>
    </w:p>
    <w:p w:rsidR="008E146B" w:rsidRPr="00540530" w:rsidP="00E7370A" w14:paraId="4D50808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s-ES_tradnl"/>
        </w:rPr>
      </w:pPr>
    </w:p>
    <w:p w:rsidR="008E146B" w:rsidRPr="00540530" w:rsidP="00E7370A" w14:paraId="2460BEA6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[Copy-paste from the</w:t>
      </w:r>
      <w:r w:rsidRPr="00540530">
        <w:rPr>
          <w:rFonts w:ascii="Times New Roman" w:hAnsi="Times New Roman"/>
          <w:i w:val="0"/>
          <w:lang w:val="en-GB"/>
        </w:rPr>
        <w:t xml:space="preserve"> </w:t>
      </w:r>
      <w:r w:rsidRPr="00027D40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540530">
        <w:rPr>
          <w:rFonts w:ascii="Times New Roman" w:hAnsi="Times New Roman"/>
          <w:i w:val="0"/>
          <w:lang w:val="en-GB"/>
        </w:rPr>
        <w:t>PSUR PRAC AR</w:t>
      </w:r>
      <w:r w:rsidRPr="00027D40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027D40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027D40" w:rsidP="0008204E" w14:paraId="2E7EB1D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540530" w:rsidP="0008204E" w14:paraId="4D7915D0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027D40" w:rsidP="0008204E" w14:paraId="3946B9CF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540530" w:rsidP="0008204E" w14:paraId="69530D98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[OPTION 1: CHMP agrees]</w:t>
      </w:r>
    </w:p>
    <w:p w:rsidR="0072084C" w:rsidRPr="00027D40" w:rsidP="00E7370A" w14:paraId="323D606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sz w:val="22"/>
        </w:rPr>
        <w:t>Tras estudiar la recomendación del PRAC, el CHMP está de acuerdo con las conclusiones generales del PRAC y con los motivos para la recomendación.</w:t>
      </w:r>
    </w:p>
    <w:p w:rsidR="0072084C" w:rsidRPr="00027D40" w:rsidP="00E7370A" w14:paraId="77A91820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</w:rPr>
      </w:pPr>
    </w:p>
    <w:p w:rsidR="008E146B" w:rsidRPr="00027D40" w:rsidP="00E7370A" w14:paraId="2D0F7E5C" w14:textId="77777777">
      <w:pPr>
        <w:pStyle w:val="No-numheading3Agency"/>
        <w:spacing w:before="0" w:after="0"/>
        <w:rPr>
          <w:rFonts w:ascii="Times New Roman" w:hAnsi="Times New Roman"/>
        </w:rPr>
      </w:pPr>
      <w:r w:rsidRPr="00027D40">
        <w:rPr>
          <w:rFonts w:ascii="Times New Roman" w:hAnsi="Times New Roman"/>
        </w:rPr>
        <w:t>Motivos para la modificación de las condiciones de la(s) autorización(es) de comercialización</w:t>
      </w:r>
    </w:p>
    <w:p w:rsidR="009B5CE6" w:rsidRPr="00540530" w:rsidP="00E7370A" w14:paraId="466F574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s-ES_tradnl"/>
        </w:rPr>
      </w:pPr>
    </w:p>
    <w:p w:rsidR="008E146B" w:rsidRPr="00027D40" w:rsidP="00E7370A" w14:paraId="3874200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sz w:val="22"/>
        </w:rPr>
        <w:t>De acuerdo con las conclusiones científicas para {nombre del principio o principios activos}, el CHMP considera que el balance beneficio-riesgo del medicamento o medicamentos que contiene(n) {principio(s) activo(s)} no se modifica sujeto a los cambios propuestos en la información del producto.</w:t>
      </w:r>
    </w:p>
    <w:p w:rsidR="009B5CE6" w:rsidRPr="00540530" w:rsidP="00E7370A" w14:paraId="59FE63B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s-ES_tradnl"/>
        </w:rPr>
      </w:pPr>
    </w:p>
    <w:p w:rsidR="00D220ED" w:rsidRPr="00027D40" w:rsidP="00E7370A" w14:paraId="0F447140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027D40">
        <w:rPr>
          <w:rFonts w:ascii="Times New Roman" w:hAnsi="Times New Roman"/>
          <w:snapToGrid w:val="0"/>
          <w:sz w:val="22"/>
        </w:rPr>
        <w:t>El CHMP recomienda que se modifiquen las condiciones de la(s) autorización(es) de comercialización.</w:t>
      </w:r>
    </w:p>
    <w:p w:rsidR="0072084C" w:rsidRPr="00027D40" w:rsidP="00E7370A" w14:paraId="4FB94AD6" w14:textId="77777777">
      <w:pPr>
        <w:rPr>
          <w:rFonts w:ascii="Times New Roman" w:hAnsi="Times New Roman" w:cs="Times New Roman"/>
          <w:sz w:val="22"/>
          <w:szCs w:val="22"/>
        </w:rPr>
      </w:pPr>
    </w:p>
    <w:p w:rsidR="0072084C" w:rsidRPr="00027D40" w:rsidP="0008204E" w14:paraId="1278E27D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540530">
        <w:rPr>
          <w:rFonts w:ascii="Times New Roman" w:hAnsi="Times New Roman"/>
          <w:i w:val="0"/>
          <w:lang w:val="es-ES_tradnl"/>
        </w:rPr>
        <w:t>[OPTION 2: CHMP disagrees]</w:t>
      </w:r>
    </w:p>
    <w:p w:rsidR="0072084C" w:rsidRPr="00027D40" w:rsidP="00E7370A" w14:paraId="42959AB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sz w:val="22"/>
        </w:rPr>
        <w:t>Tras estudiar la recomendación del PRAC, el CHMP se mostró en desacuerdo con las conclusiones generales del PRAC y con los motivos para la recomendación.</w:t>
      </w:r>
    </w:p>
    <w:p w:rsidR="0072084C" w:rsidRPr="00027D40" w:rsidP="004873DF" w14:paraId="005D5F5D" w14:textId="77777777">
      <w:pPr>
        <w:rPr>
          <w:rFonts w:ascii="Times New Roman" w:hAnsi="Times New Roman" w:cs="Times New Roman"/>
          <w:i/>
          <w:color w:val="339966"/>
          <w:sz w:val="22"/>
          <w:szCs w:val="22"/>
        </w:rPr>
      </w:pPr>
    </w:p>
    <w:p w:rsidR="0072084C" w:rsidRPr="00027D40" w:rsidP="004873DF" w14:paraId="19201016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027D40">
        <w:rPr>
          <w:rFonts w:ascii="Times New Roman" w:hAnsi="Times New Roman"/>
          <w:sz w:val="22"/>
          <w:u w:val="single"/>
        </w:rPr>
        <w:t xml:space="preserve">Explicación detallada de los motivos científicos de las </w:t>
      </w:r>
      <w:r w:rsidR="00F742DB">
        <w:rPr>
          <w:rFonts w:ascii="Times New Roman" w:hAnsi="Times New Roman"/>
          <w:sz w:val="22"/>
          <w:u w:val="single"/>
        </w:rPr>
        <w:t>discrepancias</w:t>
      </w:r>
      <w:r w:rsidRPr="00027D40" w:rsidR="00F742DB">
        <w:rPr>
          <w:rFonts w:ascii="Times New Roman" w:hAnsi="Times New Roman"/>
          <w:sz w:val="22"/>
          <w:u w:val="single"/>
        </w:rPr>
        <w:t xml:space="preserve"> </w:t>
      </w:r>
      <w:r w:rsidRPr="00027D40">
        <w:rPr>
          <w:rFonts w:ascii="Times New Roman" w:hAnsi="Times New Roman"/>
          <w:sz w:val="22"/>
          <w:u w:val="single"/>
        </w:rPr>
        <w:t>con respecto a la recomendación del PRAC</w:t>
      </w:r>
    </w:p>
    <w:p w:rsidR="0072084C" w:rsidRPr="00540530" w:rsidP="0008204E" w14:paraId="7E15D04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540530" w:rsidP="0008204E" w14:paraId="25E4AD36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540530" w:rsidP="004873DF" w14:paraId="50D5C61C" w14:textId="77777777">
      <w:pPr>
        <w:pStyle w:val="BodytextAgency"/>
        <w:spacing w:after="0" w:line="240" w:lineRule="auto"/>
        <w:rPr>
          <w:lang w:val="en-GB"/>
        </w:rPr>
      </w:pPr>
    </w:p>
    <w:p w:rsidR="0072084C" w:rsidRPr="00027D40" w:rsidP="004873DF" w14:paraId="341E03A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sz w:val="22"/>
        </w:rPr>
        <w:t xml:space="preserve">Teniendo en cuenta la recomendación del PRAC &lt;y </w:t>
      </w:r>
      <w:r w:rsidR="00991930">
        <w:rPr>
          <w:rFonts w:ascii="Times New Roman" w:hAnsi="Times New Roman"/>
          <w:sz w:val="22"/>
        </w:rPr>
        <w:t>la discusión</w:t>
      </w:r>
      <w:r w:rsidRPr="00027D40">
        <w:rPr>
          <w:rFonts w:ascii="Times New Roman" w:hAnsi="Times New Roman"/>
          <w:sz w:val="22"/>
        </w:rPr>
        <w:t xml:space="preserve"> del CHMP&gt;, el CHMP considera que</w:t>
      </w:r>
    </w:p>
    <w:p w:rsidR="004873DF" w:rsidRPr="00027D40" w:rsidP="004873DF" w14:paraId="7E7FE613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540530" w:rsidP="004873DF" w14:paraId="0BAA6C21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027D40" w:rsidP="004873DF" w14:paraId="2402DFF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027D40">
        <w:rPr>
          <w:rFonts w:ascii="Times New Roman" w:hAnsi="Times New Roman"/>
          <w:snapToGrid w:val="0"/>
          <w:sz w:val="22"/>
        </w:rPr>
        <w:t>&lt;el balance beneficio-riesgo de los medicamentos que contienen {principio(s) activo(s)} no se modifica y recomienda el mantenimiento de la(s) autorización(es) de comercialización por &lt;consenso&gt;&lt;decisión por mayoría&gt;.&gt;</w:t>
      </w:r>
    </w:p>
    <w:p w:rsidR="004873DF" w:rsidRPr="00027D40" w:rsidP="004873DF" w14:paraId="1D56E67E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540530" w:rsidP="00CF3502" w14:paraId="29D5287F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027D40" w:rsidP="004873DF" w14:paraId="717F56DE" w14:textId="77777777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027D40">
        <w:rPr>
          <w:rFonts w:ascii="Times New Roman" w:hAnsi="Times New Roman"/>
          <w:snapToGrid w:val="0"/>
          <w:sz w:val="22"/>
        </w:rPr>
        <w:t>&lt;el balance beneficio-riesgo de los medicamentos que contienen {principio(s) activo(s)} no se modifica pero recomienda por &lt;consenso&gt;&lt;decisión por mayoría&gt; que las condiciones de la(s) autorización(es) de comercialización deben modificarse como sigue:</w:t>
      </w:r>
    </w:p>
    <w:p w:rsidR="0072084C" w:rsidRPr="00540530" w:rsidP="004873DF" w14:paraId="3D346E7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540530" w:rsidP="004873DF" w14:paraId="1F7EDA1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72084C" w:rsidRPr="00540530" w:rsidP="004873DF" w14:paraId="608299A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  <w:r w:rsidRPr="00027D40">
        <w:rPr>
          <w:rFonts w:ascii="Times New Roman" w:hAnsi="Times New Roman"/>
          <w:sz w:val="22"/>
        </w:rPr>
        <w:t>&lt;Actualización de la sección {n} &lt;y {n}&gt; de</w:t>
      </w:r>
      <w:r w:rsidR="00051CA1">
        <w:rPr>
          <w:rFonts w:ascii="Times New Roman" w:hAnsi="Times New Roman"/>
          <w:sz w:val="22"/>
        </w:rPr>
        <w:t xml:space="preserve"> la Ficha Técnica o Resumen de las Características de</w:t>
      </w:r>
      <w:r w:rsidRPr="00027D40">
        <w:rPr>
          <w:rFonts w:ascii="Times New Roman" w:hAnsi="Times New Roman"/>
          <w:sz w:val="22"/>
        </w:rPr>
        <w:t>l</w:t>
      </w:r>
      <w:r w:rsidR="00051CA1">
        <w:rPr>
          <w:rFonts w:ascii="Times New Roman" w:hAnsi="Times New Roman"/>
          <w:sz w:val="22"/>
        </w:rPr>
        <w:t xml:space="preserve"> Producto (</w:t>
      </w:r>
      <w:r w:rsidRPr="00027D40">
        <w:rPr>
          <w:rFonts w:ascii="Times New Roman" w:hAnsi="Times New Roman"/>
          <w:sz w:val="22"/>
        </w:rPr>
        <w:t>RCP</w:t>
      </w:r>
      <w:r w:rsidR="00051CA1">
        <w:rPr>
          <w:rFonts w:ascii="Times New Roman" w:hAnsi="Times New Roman"/>
          <w:sz w:val="22"/>
        </w:rPr>
        <w:t>)</w:t>
      </w:r>
      <w:r w:rsidRPr="00027D40">
        <w:rPr>
          <w:rFonts w:ascii="Times New Roman" w:hAnsi="Times New Roman"/>
          <w:sz w:val="22"/>
        </w:rPr>
        <w:t xml:space="preserve"> para añadir &lt;la reacción adversa {x} con una frecuencia {y}&gt; &lt;una advertencia en {z}&gt;&lt;…&gt;. </w:t>
      </w:r>
      <w:r w:rsidRPr="00540530">
        <w:rPr>
          <w:rFonts w:ascii="Times New Roman" w:hAnsi="Times New Roman"/>
          <w:sz w:val="22"/>
          <w:lang w:val="en-GB"/>
        </w:rPr>
        <w:t>&lt;El prospecto se ha actualizado en consecuencia.&gt;&gt;</w:t>
      </w:r>
    </w:p>
    <w:p w:rsidR="00CF3502" w:rsidRPr="00027D40" w:rsidP="004873DF" w14:paraId="0D4D4C9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540530" w:rsidP="004873DF" w14:paraId="6980548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027D40" w:rsidP="004873DF" w14:paraId="7B36F1A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sz w:val="22"/>
        </w:rPr>
        <w:t>&lt;Las condiciones impuestas a la autorización de comercialización son las siguientes:&gt;</w:t>
      </w:r>
    </w:p>
    <w:p w:rsidR="0072084C" w:rsidRPr="00027D40" w:rsidP="004873DF" w14:paraId="05E1086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540530" w:rsidP="004873DF" w14:paraId="250D3483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027D40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027D40" w:rsidP="004873DF" w14:paraId="06A443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sz w:val="22"/>
        </w:rPr>
        <w:t xml:space="preserve">&lt;Además, los </w:t>
      </w:r>
      <w:r w:rsidR="00F742DB">
        <w:rPr>
          <w:rFonts w:ascii="Times New Roman" w:hAnsi="Times New Roman"/>
          <w:sz w:val="22"/>
        </w:rPr>
        <w:t>T</w:t>
      </w:r>
      <w:r w:rsidRPr="00027D40" w:rsidR="00F742DB">
        <w:rPr>
          <w:rFonts w:ascii="Times New Roman" w:hAnsi="Times New Roman"/>
          <w:sz w:val="22"/>
        </w:rPr>
        <w:t xml:space="preserve">itulares </w:t>
      </w:r>
      <w:r w:rsidRPr="00027D40">
        <w:rPr>
          <w:rFonts w:ascii="Times New Roman" w:hAnsi="Times New Roman"/>
          <w:sz w:val="22"/>
        </w:rPr>
        <w:t xml:space="preserve">de </w:t>
      </w:r>
      <w:r w:rsidR="00F742DB">
        <w:rPr>
          <w:rFonts w:ascii="Times New Roman" w:hAnsi="Times New Roman"/>
          <w:sz w:val="22"/>
        </w:rPr>
        <w:t>A</w:t>
      </w:r>
      <w:r w:rsidRPr="00027D40" w:rsidR="00F742DB">
        <w:rPr>
          <w:rFonts w:ascii="Times New Roman" w:hAnsi="Times New Roman"/>
          <w:sz w:val="22"/>
        </w:rPr>
        <w:t xml:space="preserve">utorizaciones </w:t>
      </w:r>
      <w:r w:rsidRPr="00027D40">
        <w:rPr>
          <w:rFonts w:ascii="Times New Roman" w:hAnsi="Times New Roman"/>
          <w:sz w:val="22"/>
        </w:rPr>
        <w:t xml:space="preserve">de </w:t>
      </w:r>
      <w:r w:rsidR="00F742DB">
        <w:rPr>
          <w:rFonts w:ascii="Times New Roman" w:hAnsi="Times New Roman"/>
          <w:sz w:val="22"/>
        </w:rPr>
        <w:t>C</w:t>
      </w:r>
      <w:r w:rsidRPr="00027D40" w:rsidR="00F742DB">
        <w:rPr>
          <w:rFonts w:ascii="Times New Roman" w:hAnsi="Times New Roman"/>
          <w:sz w:val="22"/>
        </w:rPr>
        <w:t xml:space="preserve">omercialización </w:t>
      </w:r>
      <w:r w:rsidR="00F742DB">
        <w:rPr>
          <w:rFonts w:ascii="Times New Roman" w:hAnsi="Times New Roman"/>
          <w:sz w:val="22"/>
        </w:rPr>
        <w:t xml:space="preserve">(TAC) </w:t>
      </w:r>
      <w:r w:rsidRPr="00027D40">
        <w:rPr>
          <w:rFonts w:ascii="Times New Roman" w:hAnsi="Times New Roman"/>
          <w:sz w:val="22"/>
        </w:rPr>
        <w:t>también deben abordar las siguientes cuestiones en el próximo informe periódico de seguridad</w:t>
      </w:r>
      <w:r w:rsidR="00F742DB">
        <w:rPr>
          <w:rFonts w:ascii="Times New Roman" w:hAnsi="Times New Roman"/>
          <w:sz w:val="22"/>
        </w:rPr>
        <w:t xml:space="preserve"> (IPS)</w:t>
      </w:r>
      <w:r w:rsidRPr="00027D40">
        <w:rPr>
          <w:rFonts w:ascii="Times New Roman" w:hAnsi="Times New Roman"/>
          <w:sz w:val="22"/>
        </w:rPr>
        <w:t>:</w:t>
      </w:r>
    </w:p>
    <w:p w:rsidR="0072084C" w:rsidRPr="00027D40" w:rsidP="004873DF" w14:paraId="66B22163" w14:textId="77777777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color w:val="339966"/>
          <w:sz w:val="22"/>
          <w:lang w:val="en-GB"/>
        </w:rPr>
        <w:t>[list]</w:t>
      </w:r>
      <w:r w:rsidRPr="00027D40">
        <w:rPr>
          <w:rFonts w:ascii="Times New Roman" w:hAnsi="Times New Roman"/>
          <w:sz w:val="22"/>
          <w:lang w:val="en-GB"/>
        </w:rPr>
        <w:t>&gt;</w:t>
      </w:r>
    </w:p>
    <w:p w:rsidR="00F304FB" w:rsidRPr="00027D40" w:rsidP="00F304FB" w14:paraId="5AB7BF76" w14:textId="1D2C281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sz w:val="22"/>
        </w:rPr>
        <w:t xml:space="preserve">&lt;Además, los </w:t>
      </w:r>
      <w:r w:rsidR="00F742DB">
        <w:rPr>
          <w:rFonts w:ascii="Times New Roman" w:hAnsi="Times New Roman"/>
          <w:sz w:val="22"/>
        </w:rPr>
        <w:t>T</w:t>
      </w:r>
      <w:r w:rsidRPr="00027D40" w:rsidR="00F742DB">
        <w:rPr>
          <w:rFonts w:ascii="Times New Roman" w:hAnsi="Times New Roman"/>
          <w:sz w:val="22"/>
        </w:rPr>
        <w:t xml:space="preserve">itulares </w:t>
      </w:r>
      <w:r w:rsidRPr="00027D40">
        <w:rPr>
          <w:rFonts w:ascii="Times New Roman" w:hAnsi="Times New Roman"/>
          <w:sz w:val="22"/>
        </w:rPr>
        <w:t xml:space="preserve">de </w:t>
      </w:r>
      <w:r w:rsidR="00F742DB">
        <w:rPr>
          <w:rFonts w:ascii="Times New Roman" w:hAnsi="Times New Roman"/>
          <w:sz w:val="22"/>
        </w:rPr>
        <w:t>A</w:t>
      </w:r>
      <w:r w:rsidRPr="00027D40" w:rsidR="00F742DB">
        <w:rPr>
          <w:rFonts w:ascii="Times New Roman" w:hAnsi="Times New Roman"/>
          <w:sz w:val="22"/>
        </w:rPr>
        <w:t xml:space="preserve">utorizaciones </w:t>
      </w:r>
      <w:r w:rsidRPr="00027D40">
        <w:rPr>
          <w:rFonts w:ascii="Times New Roman" w:hAnsi="Times New Roman"/>
          <w:sz w:val="22"/>
        </w:rPr>
        <w:t xml:space="preserve">de </w:t>
      </w:r>
      <w:r w:rsidR="00F742DB">
        <w:rPr>
          <w:rFonts w:ascii="Times New Roman" w:hAnsi="Times New Roman"/>
          <w:sz w:val="22"/>
        </w:rPr>
        <w:t>C</w:t>
      </w:r>
      <w:r w:rsidRPr="00027D40" w:rsidR="00F742DB">
        <w:rPr>
          <w:rFonts w:ascii="Times New Roman" w:hAnsi="Times New Roman"/>
          <w:sz w:val="22"/>
        </w:rPr>
        <w:t xml:space="preserve">omercialización </w:t>
      </w:r>
      <w:r w:rsidR="00F742DB">
        <w:rPr>
          <w:rFonts w:ascii="Times New Roman" w:hAnsi="Times New Roman"/>
          <w:sz w:val="22"/>
        </w:rPr>
        <w:t xml:space="preserve">(TAC) </w:t>
      </w:r>
      <w:r w:rsidRPr="00027D40">
        <w:rPr>
          <w:rFonts w:ascii="Times New Roman" w:hAnsi="Times New Roman"/>
          <w:sz w:val="22"/>
        </w:rPr>
        <w:t xml:space="preserve">deben presentar un </w:t>
      </w:r>
      <w:r w:rsidR="00F742DB">
        <w:rPr>
          <w:rFonts w:ascii="Times New Roman" w:hAnsi="Times New Roman"/>
          <w:sz w:val="22"/>
        </w:rPr>
        <w:t>P</w:t>
      </w:r>
      <w:r w:rsidRPr="00027D40" w:rsidR="00F742DB">
        <w:rPr>
          <w:rFonts w:ascii="Times New Roman" w:hAnsi="Times New Roman"/>
          <w:sz w:val="22"/>
        </w:rPr>
        <w:t xml:space="preserve">lan </w:t>
      </w:r>
      <w:r w:rsidRPr="00027D40">
        <w:rPr>
          <w:rFonts w:ascii="Times New Roman" w:hAnsi="Times New Roman"/>
          <w:sz w:val="22"/>
        </w:rPr>
        <w:t xml:space="preserve">de </w:t>
      </w:r>
      <w:r w:rsidR="00F742DB">
        <w:rPr>
          <w:rFonts w:ascii="Times New Roman" w:hAnsi="Times New Roman"/>
          <w:sz w:val="22"/>
        </w:rPr>
        <w:t>G</w:t>
      </w:r>
      <w:r w:rsidRPr="00027D40" w:rsidR="00F742DB">
        <w:rPr>
          <w:rFonts w:ascii="Times New Roman" w:hAnsi="Times New Roman"/>
          <w:sz w:val="22"/>
        </w:rPr>
        <w:t xml:space="preserve">estión </w:t>
      </w:r>
      <w:r w:rsidRPr="00027D40">
        <w:rPr>
          <w:rFonts w:ascii="Times New Roman" w:hAnsi="Times New Roman"/>
          <w:sz w:val="22"/>
        </w:rPr>
        <w:t xml:space="preserve">de </w:t>
      </w:r>
      <w:r w:rsidR="00F742DB">
        <w:rPr>
          <w:rFonts w:ascii="Times New Roman" w:hAnsi="Times New Roman"/>
          <w:sz w:val="22"/>
        </w:rPr>
        <w:t>R</w:t>
      </w:r>
      <w:r w:rsidRPr="00027D40" w:rsidR="00F742DB">
        <w:rPr>
          <w:rFonts w:ascii="Times New Roman" w:hAnsi="Times New Roman"/>
          <w:sz w:val="22"/>
        </w:rPr>
        <w:t xml:space="preserve">iesgos </w:t>
      </w:r>
      <w:r w:rsidR="00F742DB">
        <w:rPr>
          <w:rFonts w:ascii="Times New Roman" w:hAnsi="Times New Roman"/>
          <w:sz w:val="22"/>
        </w:rPr>
        <w:t xml:space="preserve">(PGR) </w:t>
      </w:r>
      <w:r w:rsidRPr="00027D40">
        <w:rPr>
          <w:rFonts w:ascii="Times New Roman" w:hAnsi="Times New Roman"/>
          <w:sz w:val="22"/>
        </w:rPr>
        <w:t xml:space="preserve">actualizado en un plazo de </w:t>
      </w:r>
      <w:r w:rsidRPr="00027D40" w:rsidR="00540530">
        <w:rPr>
          <w:rFonts w:ascii="Times New Roman" w:hAnsi="Times New Roman"/>
          <w:sz w:val="22"/>
        </w:rPr>
        <w:t>{x}</w:t>
      </w:r>
      <w:r w:rsidRPr="00027D40">
        <w:rPr>
          <w:rFonts w:ascii="Times New Roman" w:hAnsi="Times New Roman"/>
          <w:sz w:val="22"/>
        </w:rPr>
        <w:t> meses para abordar las siguientes cuestiones:</w:t>
      </w:r>
    </w:p>
    <w:p w:rsidR="00F304FB" w:rsidRPr="00027D40" w:rsidP="00F304FB" w14:paraId="5638EC4E" w14:textId="77777777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027D40">
        <w:rPr>
          <w:rFonts w:ascii="Times New Roman" w:hAnsi="Times New Roman"/>
          <w:color w:val="339966"/>
          <w:sz w:val="22"/>
          <w:lang w:val="en-GB"/>
        </w:rPr>
        <w:t>[list]</w:t>
      </w:r>
      <w:r w:rsidRPr="00027D40">
        <w:rPr>
          <w:rFonts w:ascii="Times New Roman" w:hAnsi="Times New Roman"/>
          <w:sz w:val="22"/>
          <w:lang w:val="en-GB"/>
        </w:rPr>
        <w:t>&gt;</w:t>
      </w:r>
    </w:p>
    <w:p w:rsidR="0072084C" w:rsidRPr="00027D40" w:rsidP="004873DF" w14:paraId="60CE4F64" w14:textId="77777777">
      <w:pPr>
        <w:pStyle w:val="BodytextAgency"/>
        <w:spacing w:after="0" w:line="240" w:lineRule="auto"/>
        <w:rPr>
          <w:rFonts w:eastAsia="SimSun" w:cs="Verdana"/>
        </w:rPr>
      </w:pPr>
    </w:p>
    <w:sectPr w:rsidSect="00C21181">
      <w:footerReference w:type="default" r:id="rId4"/>
      <w:headerReference w:type="first" r:id="rId5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027D40" w14:paraId="093E8E0D" w14:textId="77777777">
    <w:pPr>
      <w:pStyle w:val="Footer"/>
      <w:jc w:val="center"/>
    </w:pPr>
    <w:r w:rsidRPr="00027D40">
      <w:fldChar w:fldCharType="begin"/>
    </w:r>
    <w:r w:rsidRPr="00027D40" w:rsidR="0092120C">
      <w:instrText xml:space="preserve"> PAGE   \* MERGEFORMAT </w:instrText>
    </w:r>
    <w:r w:rsidRPr="00027D40">
      <w:fldChar w:fldCharType="separate"/>
    </w:r>
    <w:r w:rsidR="00E8783D">
      <w:rPr>
        <w:noProof/>
      </w:rPr>
      <w:t>3</w:t>
    </w:r>
    <w:r w:rsidRPr="00027D40">
      <w:fldChar w:fldCharType="end"/>
    </w:r>
  </w:p>
  <w:p w:rsidR="0008729F" w:rsidRPr="00027D40" w14:paraId="3FDC50E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6CA2422E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027D40" w14:paraId="5F28A1BD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027D40" w14:paraId="34D1B890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027D40" w14:paraId="27D1BE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58"/>
    <w:rsid w:val="00003A79"/>
    <w:rsid w:val="00010E79"/>
    <w:rsid w:val="000134EA"/>
    <w:rsid w:val="000155A6"/>
    <w:rsid w:val="00016D7A"/>
    <w:rsid w:val="00020FD6"/>
    <w:rsid w:val="00027D40"/>
    <w:rsid w:val="00034AEA"/>
    <w:rsid w:val="00041BA3"/>
    <w:rsid w:val="000443DA"/>
    <w:rsid w:val="00047E1B"/>
    <w:rsid w:val="00051CA1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71F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34C6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085E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4FE9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0530"/>
    <w:rsid w:val="00545E3E"/>
    <w:rsid w:val="005500CC"/>
    <w:rsid w:val="00551349"/>
    <w:rsid w:val="00557438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454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91930"/>
    <w:rsid w:val="009A3046"/>
    <w:rsid w:val="009A4EB1"/>
    <w:rsid w:val="009B418C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8783D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2DB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E8B7957-DFD2-45E1-AEAA-4A90CA38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es-ES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HannexIVpsur_en</vt:lpstr>
      <vt:lpstr>HannexIVpsur_en</vt:lpstr>
    </vt:vector>
  </TitlesOfParts>
  <Company>CDT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HannexIVpsur_ES</dc:title>
  <dc:creator>CDT</dc:creator>
  <cp:lastModifiedBy>Akhtar Tia</cp:lastModifiedBy>
  <cp:revision>4</cp:revision>
  <cp:lastPrinted>2014-01-22T14:19:00Z</cp:lastPrinted>
  <dcterms:created xsi:type="dcterms:W3CDTF">2023-12-29T12:15:00Z</dcterms:created>
  <dcterms:modified xsi:type="dcterms:W3CDTF">2024-01-16T09:09:00Z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10:09:24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EMA/6573/2024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EMA/6573/2024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12:43:25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12:43:25</vt:lpwstr>
  </property>
  <property fmtid="{D5CDD505-2E9C-101B-9397-08002B2CF9AE}" pid="36" name="DM_Name">
    <vt:lpwstr>HannexIVpsur_ES 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fe689837-b271-434b-9bb6-72c5cc884bde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2024-01-16T09:09:16Z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