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67B" w:rsidRPr="00D852F6" w:rsidRDefault="005E367B">
      <w:pPr>
        <w:pStyle w:val="NormalAgency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5E367B" w:rsidRPr="00D852F6" w:rsidRDefault="005E367B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5E367B" w:rsidRPr="00D852F6" w:rsidRDefault="005E367B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5E367B" w:rsidRPr="00D852F6" w:rsidRDefault="005E367B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5E367B" w:rsidRPr="00D852F6" w:rsidRDefault="005E367B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5E367B" w:rsidRPr="00D852F6" w:rsidRDefault="005E367B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5E367B" w:rsidRPr="00D852F6" w:rsidRDefault="005E367B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5E367B" w:rsidRPr="00D852F6" w:rsidRDefault="005E367B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5E367B" w:rsidRPr="00D852F6" w:rsidRDefault="005E367B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5E367B" w:rsidRPr="00D852F6" w:rsidRDefault="005E367B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5E367B" w:rsidRPr="00D852F6" w:rsidRDefault="005E367B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5E367B" w:rsidRPr="00D852F6" w:rsidRDefault="005E367B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5E367B" w:rsidRPr="00D852F6" w:rsidRDefault="005E367B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5E367B" w:rsidRPr="00D852F6" w:rsidRDefault="005E367B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5E367B" w:rsidRPr="00D852F6" w:rsidRDefault="005E367B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5E367B" w:rsidRPr="00D852F6" w:rsidRDefault="005E367B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5E367B" w:rsidRPr="00D852F6" w:rsidRDefault="005E367B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5E367B" w:rsidRPr="00D852F6" w:rsidRDefault="005E367B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5E367B" w:rsidRPr="00D852F6" w:rsidRDefault="005E367B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5E367B" w:rsidRPr="00D852F6" w:rsidRDefault="005E367B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5E367B" w:rsidRPr="00D852F6" w:rsidRDefault="005E367B">
      <w:pPr>
        <w:pStyle w:val="NormalAgency"/>
        <w:rPr>
          <w:rFonts w:ascii="Times New Roman" w:hAnsi="Times New Roman" w:cs="Times New Roman"/>
          <w:sz w:val="22"/>
          <w:szCs w:val="22"/>
          <w:lang w:val="pl-PL"/>
        </w:rPr>
      </w:pPr>
    </w:p>
    <w:p w:rsidR="005E367B" w:rsidRPr="00D852F6" w:rsidRDefault="005E367B">
      <w:pPr>
        <w:pStyle w:val="NormalAgency"/>
        <w:rPr>
          <w:rFonts w:ascii="Times New Roman" w:hAnsi="Times New Roman" w:cs="Times New Roman"/>
          <w:sz w:val="22"/>
          <w:szCs w:val="22"/>
          <w:lang w:val="pl-PL"/>
        </w:rPr>
      </w:pPr>
    </w:p>
    <w:p w:rsidR="005E367B" w:rsidRPr="00D852F6" w:rsidRDefault="005E367B">
      <w:pPr>
        <w:pStyle w:val="NormalAgency"/>
        <w:rPr>
          <w:rFonts w:ascii="Times New Roman" w:hAnsi="Times New Roman" w:cs="Times New Roman"/>
          <w:sz w:val="22"/>
          <w:szCs w:val="22"/>
          <w:lang w:val="pl-PL"/>
        </w:rPr>
      </w:pPr>
    </w:p>
    <w:p w:rsidR="005E367B" w:rsidRPr="00D852F6" w:rsidRDefault="000703BA">
      <w:pPr>
        <w:pStyle w:val="No-numheading3Agency"/>
        <w:jc w:val="center"/>
        <w:rPr>
          <w:rFonts w:ascii="Times New Roman" w:hAnsi="Times New Roman" w:cs="Times New Roman"/>
          <w:b w:val="0"/>
          <w:bCs w:val="0"/>
          <w:lang w:val="pl-PL"/>
        </w:rPr>
      </w:pPr>
      <w:r w:rsidRPr="00D852F6">
        <w:rPr>
          <w:rFonts w:ascii="Times New Roman" w:hAnsi="Times New Roman" w:cs="Times New Roman"/>
          <w:bCs w:val="0"/>
          <w:noProof/>
          <w:lang w:val="pl-PL"/>
        </w:rPr>
        <w:t>&lt;ANEKS IV</w:t>
      </w:r>
    </w:p>
    <w:p w:rsidR="005E367B" w:rsidRPr="00D852F6" w:rsidRDefault="000703BA">
      <w:pPr>
        <w:pStyle w:val="No-numheading3Agency"/>
        <w:jc w:val="center"/>
        <w:rPr>
          <w:rFonts w:ascii="Times New Roman" w:hAnsi="Times New Roman" w:cs="Times New Roman"/>
          <w:b w:val="0"/>
          <w:bCs w:val="0"/>
          <w:color w:val="000000"/>
          <w:lang w:val="pl-PL"/>
        </w:rPr>
      </w:pPr>
      <w:r w:rsidRPr="00D852F6">
        <w:rPr>
          <w:rFonts w:ascii="Times New Roman" w:hAnsi="Times New Roman" w:cs="Times New Roman"/>
          <w:bCs w:val="0"/>
          <w:noProof/>
          <w:lang w:val="pl-PL"/>
        </w:rPr>
        <w:t>WNIOSKI DOTYCZĄCE &lt;PODOBIEŃSTWA LUB ODSTĘPSTW&gt; &lt;ORAZ&gt; &lt;PRZYZNANIA &lt;ROCZNEJ OCHRONY DOPUSZCZENIA DO OBROTU&gt; &lt;ROCZNEGO PRAWA DO WYŁĄCZNOŚCI DANYCH&gt;&gt; PRZEDSTAWIONE PRZEZ EUROPEJSKĄ AGENCJĘ LEKÓW</w:t>
      </w:r>
    </w:p>
    <w:p w:rsidR="005E367B" w:rsidRPr="00D852F6" w:rsidRDefault="000703BA">
      <w:pPr>
        <w:pStyle w:val="No-numheading3Agency"/>
        <w:rPr>
          <w:rFonts w:ascii="Times New Roman" w:hAnsi="Times New Roman" w:cs="Times New Roman"/>
          <w:b w:val="0"/>
          <w:bCs w:val="0"/>
          <w:lang w:val="pl-PL"/>
        </w:rPr>
      </w:pPr>
      <w:r w:rsidRPr="00D852F6">
        <w:rPr>
          <w:rFonts w:ascii="Times New Roman" w:hAnsi="Times New Roman" w:cs="Times New Roman"/>
          <w:bCs w:val="0"/>
          <w:lang w:val="pl-PL"/>
        </w:rPr>
        <w:br w:type="page"/>
      </w:r>
      <w:r w:rsidRPr="00D852F6">
        <w:rPr>
          <w:rFonts w:ascii="Times New Roman" w:hAnsi="Times New Roman" w:cs="Times New Roman"/>
          <w:bCs w:val="0"/>
          <w:noProof/>
          <w:lang w:val="pl-PL"/>
        </w:rPr>
        <w:lastRenderedPageBreak/>
        <w:t>Wnioski przedstawione przez Eu</w:t>
      </w:r>
      <w:r w:rsidRPr="00D852F6">
        <w:rPr>
          <w:rFonts w:ascii="Times New Roman" w:hAnsi="Times New Roman" w:cs="Times New Roman"/>
          <w:bCs w:val="0"/>
          <w:noProof/>
          <w:lang w:val="pl-PL"/>
        </w:rPr>
        <w:t>ropejską Agencję Leków dotyczące:</w:t>
      </w:r>
    </w:p>
    <w:p w:rsidR="005E367B" w:rsidRPr="00D852F6" w:rsidRDefault="000703BA">
      <w:pPr>
        <w:pStyle w:val="DraftingNotesAgency"/>
        <w:rPr>
          <w:rFonts w:ascii="Times New Roman" w:hAnsi="Times New Roman"/>
          <w:i w:val="0"/>
          <w:szCs w:val="22"/>
          <w:lang w:val="en-US"/>
        </w:rPr>
      </w:pPr>
      <w:r w:rsidRPr="00D852F6">
        <w:rPr>
          <w:rFonts w:ascii="Times New Roman" w:hAnsi="Times New Roman"/>
          <w:noProof/>
          <w:szCs w:val="22"/>
          <w:lang w:val="en-US"/>
        </w:rPr>
        <w:t>[In case of similarity and an accepted derogation, please select the statement(s) as provided below.]</w:t>
      </w:r>
    </w:p>
    <w:p w:rsidR="005E367B" w:rsidRPr="00D852F6" w:rsidRDefault="000703BA">
      <w:pPr>
        <w:pStyle w:val="BodytextAgency"/>
        <w:numPr>
          <w:ilvl w:val="0"/>
          <w:numId w:val="38"/>
        </w:numPr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D852F6">
        <w:rPr>
          <w:rFonts w:ascii="Times New Roman" w:hAnsi="Times New Roman" w:cs="Times New Roman"/>
          <w:b/>
          <w:noProof/>
          <w:sz w:val="22"/>
          <w:szCs w:val="22"/>
          <w:lang w:val="pl-PL"/>
        </w:rPr>
        <w:t>&lt;podobieństwa&gt;</w:t>
      </w:r>
      <w:r w:rsidRPr="00D852F6">
        <w:rPr>
          <w:rFonts w:ascii="Times New Roman" w:hAnsi="Times New Roman" w:cs="Times New Roman"/>
          <w:b/>
          <w:sz w:val="22"/>
          <w:szCs w:val="22"/>
          <w:lang w:val="pl-PL"/>
        </w:rPr>
        <w:t xml:space="preserve"> </w:t>
      </w:r>
    </w:p>
    <w:p w:rsidR="005E367B" w:rsidRPr="00D852F6" w:rsidRDefault="000703BA">
      <w:pPr>
        <w:pStyle w:val="BodytextAgency"/>
        <w:rPr>
          <w:rFonts w:ascii="Times New Roman" w:hAnsi="Times New Roman" w:cs="Times New Roman"/>
          <w:sz w:val="22"/>
          <w:szCs w:val="22"/>
          <w:lang w:val="pl-PL"/>
        </w:rPr>
      </w:pPr>
      <w:r w:rsidRPr="00D852F6">
        <w:rPr>
          <w:rFonts w:ascii="Times New Roman" w:hAnsi="Times New Roman" w:cs="Times New Roman"/>
          <w:noProof/>
          <w:sz w:val="22"/>
          <w:szCs w:val="22"/>
          <w:lang w:val="pl-PL"/>
        </w:rPr>
        <w:t>&lt;CHMP uznaje, że produkt leczniczy {nazwa produktu} jest podobny do zatwierdzonych sierocych produktów l</w:t>
      </w:r>
      <w:r w:rsidRPr="00D852F6">
        <w:rPr>
          <w:rFonts w:ascii="Times New Roman" w:hAnsi="Times New Roman" w:cs="Times New Roman"/>
          <w:noProof/>
          <w:sz w:val="22"/>
          <w:szCs w:val="22"/>
          <w:lang w:val="pl-PL"/>
        </w:rPr>
        <w:t xml:space="preserve">eczniczych, w rozumieniu definicji zawartej w art. 3 rozporządzenia Komisji (WE) nr </w:t>
      </w:r>
      <w:r w:rsidRPr="00D852F6">
        <w:rPr>
          <w:rFonts w:ascii="Times New Roman" w:hAnsi="Times New Roman" w:cs="Times New Roman"/>
          <w:noProof/>
          <w:color w:val="000000"/>
          <w:sz w:val="22"/>
          <w:szCs w:val="22"/>
          <w:lang w:val="pl-PL"/>
        </w:rPr>
        <w:t>847/2000, co zostało szerzej omówione w Europejskim Publicznym Sprawozdaniu Oceniającym.&gt;</w:t>
      </w:r>
    </w:p>
    <w:p w:rsidR="005E367B" w:rsidRPr="00D852F6" w:rsidRDefault="000703BA">
      <w:pPr>
        <w:pStyle w:val="BodytextAgency"/>
        <w:numPr>
          <w:ilvl w:val="0"/>
          <w:numId w:val="38"/>
        </w:numPr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D852F6">
        <w:rPr>
          <w:rFonts w:ascii="Times New Roman" w:hAnsi="Times New Roman" w:cs="Times New Roman"/>
          <w:b/>
          <w:noProof/>
          <w:sz w:val="22"/>
          <w:szCs w:val="22"/>
          <w:lang w:val="pl-PL"/>
        </w:rPr>
        <w:t>&lt;odstępstw&gt;</w:t>
      </w:r>
    </w:p>
    <w:p w:rsidR="005E367B" w:rsidRPr="00D852F6" w:rsidRDefault="000703BA">
      <w:pPr>
        <w:pStyle w:val="BodytextAgency"/>
        <w:rPr>
          <w:rFonts w:ascii="Times New Roman" w:hAnsi="Times New Roman" w:cs="Times New Roman"/>
          <w:color w:val="000000"/>
          <w:sz w:val="22"/>
          <w:szCs w:val="22"/>
          <w:lang w:val="pl-PL"/>
        </w:rPr>
      </w:pPr>
      <w:r w:rsidRPr="00D852F6">
        <w:rPr>
          <w:rFonts w:ascii="Times New Roman" w:hAnsi="Times New Roman" w:cs="Times New Roman"/>
          <w:noProof/>
          <w:sz w:val="22"/>
          <w:szCs w:val="22"/>
          <w:lang w:val="pl-PL"/>
        </w:rPr>
        <w:t>&lt;CHMP uznaje, że zgodnie z art. 8 rozporządzenia (WE) nr 141/2000 i &lt;a</w:t>
      </w:r>
      <w:r w:rsidRPr="00D852F6">
        <w:rPr>
          <w:rFonts w:ascii="Times New Roman" w:hAnsi="Times New Roman" w:cs="Times New Roman"/>
          <w:noProof/>
          <w:sz w:val="22"/>
          <w:szCs w:val="22"/>
          <w:lang w:val="pl-PL"/>
        </w:rPr>
        <w:t xml:space="preserve">rt. 3 rozporządzenia Komisji (WE) nr 847/2000&gt; </w:t>
      </w:r>
      <w:r w:rsidRPr="00D852F6">
        <w:rPr>
          <w:rStyle w:val="DraftingNotesAgencyChar"/>
          <w:rFonts w:ascii="Times New Roman" w:hAnsi="Times New Roman" w:cs="Times New Roman"/>
          <w:noProof/>
          <w:sz w:val="22"/>
          <w:szCs w:val="22"/>
          <w:lang w:val="pl-PL"/>
        </w:rPr>
        <w:t>[only for the superiority derogation]</w:t>
      </w:r>
      <w:r w:rsidRPr="00D852F6">
        <w:rPr>
          <w:rFonts w:ascii="Times New Roman" w:hAnsi="Times New Roman" w:cs="Times New Roman"/>
          <w:i/>
          <w:noProof/>
          <w:color w:val="008000"/>
          <w:sz w:val="22"/>
          <w:szCs w:val="22"/>
          <w:lang w:val="pl-PL"/>
        </w:rPr>
        <w:t xml:space="preserve"> &lt;</w:t>
      </w:r>
      <w:r w:rsidRPr="00D852F6">
        <w:rPr>
          <w:rFonts w:ascii="Times New Roman" w:hAnsi="Times New Roman" w:cs="Times New Roman"/>
          <w:noProof/>
          <w:color w:val="000000"/>
          <w:sz w:val="22"/>
          <w:szCs w:val="22"/>
          <w:lang w:val="pl-PL"/>
        </w:rPr>
        <w:t xml:space="preserve">ma&gt; &lt;mają&gt; zastosowanie &lt;następujące &lt;odstępstwo&gt; &lt;odstępstwa&gt;&gt; określone w art. 8 ust.3 tego samego rozporządzenia, co zostało szerzej omówione w Europejskim Publicznym </w:t>
      </w:r>
      <w:r w:rsidRPr="00D852F6">
        <w:rPr>
          <w:rFonts w:ascii="Times New Roman" w:hAnsi="Times New Roman" w:cs="Times New Roman"/>
          <w:noProof/>
          <w:color w:val="000000"/>
          <w:sz w:val="22"/>
          <w:szCs w:val="22"/>
          <w:lang w:val="pl-PL"/>
        </w:rPr>
        <w:t>Sprawozdaniu Oceniającym:</w:t>
      </w:r>
    </w:p>
    <w:p w:rsidR="005E367B" w:rsidRPr="00D852F6" w:rsidRDefault="000703BA">
      <w:pPr>
        <w:pStyle w:val="BodytextAgency"/>
        <w:rPr>
          <w:rFonts w:ascii="Times New Roman" w:hAnsi="Times New Roman" w:cs="Times New Roman"/>
          <w:color w:val="000000"/>
          <w:sz w:val="22"/>
          <w:szCs w:val="22"/>
          <w:lang w:val="pl-PL"/>
        </w:rPr>
      </w:pPr>
      <w:r w:rsidRPr="00D852F6">
        <w:rPr>
          <w:rFonts w:ascii="Times New Roman" w:hAnsi="Times New Roman" w:cs="Times New Roman"/>
          <w:noProof/>
          <w:color w:val="000000"/>
          <w:sz w:val="22"/>
          <w:szCs w:val="22"/>
          <w:lang w:val="pl-PL"/>
        </w:rPr>
        <w:t xml:space="preserve">&lt;podmiot odpowiedzialny posiadający pozwolenie na dopuszczenie produktu leczniczego {nazwa zatwierdzonego do obrotu sierocego produktu leczniczego} </w:t>
      </w:r>
      <w:r w:rsidRPr="00ED2E50">
        <w:rPr>
          <w:rFonts w:ascii="Times New Roman" w:hAnsi="Times New Roman" w:cs="Times New Roman"/>
          <w:noProof/>
          <w:color w:val="000000"/>
          <w:sz w:val="22"/>
          <w:szCs w:val="22"/>
          <w:lang w:val="pl-PL"/>
        </w:rPr>
        <w:t xml:space="preserve">do obrotu </w:t>
      </w:r>
      <w:r w:rsidRPr="00D852F6">
        <w:rPr>
          <w:rFonts w:ascii="Times New Roman" w:hAnsi="Times New Roman" w:cs="Times New Roman"/>
          <w:noProof/>
          <w:color w:val="000000"/>
          <w:sz w:val="22"/>
          <w:szCs w:val="22"/>
          <w:lang w:val="pl-PL"/>
        </w:rPr>
        <w:t>nie jest w stanie zapewnić dostarczenia odpowiedniej ilości produktu lec</w:t>
      </w:r>
      <w:r w:rsidRPr="00D852F6">
        <w:rPr>
          <w:rFonts w:ascii="Times New Roman" w:hAnsi="Times New Roman" w:cs="Times New Roman"/>
          <w:noProof/>
          <w:color w:val="000000"/>
          <w:sz w:val="22"/>
          <w:szCs w:val="22"/>
          <w:lang w:val="pl-PL"/>
        </w:rPr>
        <w:t>zniczego&gt; &lt;i&gt;</w:t>
      </w:r>
      <w:r w:rsidRPr="00D852F6">
        <w:rPr>
          <w:rFonts w:ascii="Times New Roman" w:hAnsi="Times New Roman" w:cs="Times New Roman"/>
          <w:color w:val="000000"/>
          <w:sz w:val="22"/>
          <w:szCs w:val="22"/>
          <w:lang w:val="pl-PL"/>
        </w:rPr>
        <w:t xml:space="preserve"> </w:t>
      </w:r>
    </w:p>
    <w:p w:rsidR="005E367B" w:rsidRPr="00D852F6" w:rsidRDefault="000703BA">
      <w:pPr>
        <w:pStyle w:val="BodytextAgency"/>
        <w:rPr>
          <w:rFonts w:ascii="Times New Roman" w:hAnsi="Times New Roman" w:cs="Times New Roman"/>
          <w:color w:val="000000"/>
          <w:sz w:val="22"/>
          <w:szCs w:val="22"/>
          <w:lang w:val="pl-PL"/>
        </w:rPr>
      </w:pPr>
      <w:r w:rsidRPr="00D852F6">
        <w:rPr>
          <w:rFonts w:ascii="Times New Roman" w:hAnsi="Times New Roman" w:cs="Times New Roman"/>
          <w:noProof/>
          <w:color w:val="000000"/>
          <w:sz w:val="22"/>
          <w:szCs w:val="22"/>
          <w:lang w:val="pl-PL"/>
        </w:rPr>
        <w:t xml:space="preserve">&lt;we wniosku wnioskodawca udowodnił, że produkt leczniczy, chociaż jest podobny do produktu {nazwa zatwierdzonego do obrotu sierocego produktu leczniczego}, jest bezpieczniejszy, </w:t>
      </w:r>
      <w:r w:rsidRPr="00ED2E63">
        <w:rPr>
          <w:rFonts w:ascii="Times New Roman" w:hAnsi="Times New Roman" w:cs="Times New Roman"/>
          <w:noProof/>
          <w:color w:val="000000"/>
          <w:sz w:val="22"/>
          <w:szCs w:val="22"/>
          <w:lang w:val="pl-PL"/>
        </w:rPr>
        <w:t xml:space="preserve">bardziej </w:t>
      </w:r>
      <w:r w:rsidRPr="00D852F6">
        <w:rPr>
          <w:rFonts w:ascii="Times New Roman" w:hAnsi="Times New Roman" w:cs="Times New Roman"/>
          <w:noProof/>
          <w:color w:val="000000"/>
          <w:sz w:val="22"/>
          <w:szCs w:val="22"/>
          <w:lang w:val="pl-PL"/>
        </w:rPr>
        <w:t>skuteczny lub z innych względów klinicznych lepszy (zg</w:t>
      </w:r>
      <w:r w:rsidRPr="00D852F6">
        <w:rPr>
          <w:rFonts w:ascii="Times New Roman" w:hAnsi="Times New Roman" w:cs="Times New Roman"/>
          <w:noProof/>
          <w:color w:val="000000"/>
          <w:sz w:val="22"/>
          <w:szCs w:val="22"/>
          <w:lang w:val="pl-PL"/>
        </w:rPr>
        <w:t>odnie z definicją zawartą w art. 3 rozporządzenia Komisji nr 847/2000) w tym samym wskazaniu do stosowania&gt; &lt;i&gt;</w:t>
      </w:r>
    </w:p>
    <w:p w:rsidR="005E367B" w:rsidRPr="00D852F6" w:rsidRDefault="000703BA">
      <w:pPr>
        <w:pStyle w:val="BodytextAgency"/>
        <w:rPr>
          <w:rFonts w:ascii="Times New Roman" w:hAnsi="Times New Roman" w:cs="Times New Roman"/>
          <w:sz w:val="22"/>
          <w:szCs w:val="22"/>
          <w:lang w:val="pl-PL"/>
        </w:rPr>
      </w:pPr>
      <w:r w:rsidRPr="00D852F6">
        <w:rPr>
          <w:rFonts w:ascii="Times New Roman" w:hAnsi="Times New Roman" w:cs="Times New Roman"/>
          <w:noProof/>
          <w:color w:val="000000"/>
          <w:sz w:val="22"/>
          <w:szCs w:val="22"/>
          <w:lang w:val="pl-PL"/>
        </w:rPr>
        <w:t>&lt;wnioskodawca uzyskał zgodę podmiotu odpowiedzialnego posiadającego pozwolenie, na dopuszczenie produktu {nazwa zatwierdzonego do obrotu sieroce</w:t>
      </w:r>
      <w:r w:rsidRPr="00D852F6">
        <w:rPr>
          <w:rFonts w:ascii="Times New Roman" w:hAnsi="Times New Roman" w:cs="Times New Roman"/>
          <w:noProof/>
          <w:color w:val="000000"/>
          <w:sz w:val="22"/>
          <w:szCs w:val="22"/>
          <w:lang w:val="pl-PL"/>
        </w:rPr>
        <w:t>go produktu leczniczego} do obrotu&gt;</w:t>
      </w:r>
    </w:p>
    <w:p w:rsidR="005E367B" w:rsidRPr="00D852F6" w:rsidRDefault="000703BA">
      <w:pPr>
        <w:pStyle w:val="BodytextAgency"/>
        <w:numPr>
          <w:ilvl w:val="0"/>
          <w:numId w:val="38"/>
        </w:numPr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D852F6">
        <w:rPr>
          <w:rFonts w:ascii="Times New Roman" w:hAnsi="Times New Roman" w:cs="Times New Roman"/>
          <w:b/>
          <w:noProof/>
          <w:sz w:val="22"/>
          <w:szCs w:val="22"/>
          <w:lang w:val="pl-PL"/>
        </w:rPr>
        <w:t>&lt;rocznej ochrony dopuszczenia do obrotu&gt; &lt;rocznego prawa do wyłączności danych&gt;</w:t>
      </w:r>
    </w:p>
    <w:p w:rsidR="005E367B" w:rsidRPr="00D852F6" w:rsidRDefault="000703BA" w:rsidP="0029155C">
      <w:pPr>
        <w:pStyle w:val="DraftingNotesAgency"/>
        <w:rPr>
          <w:rFonts w:ascii="Times New Roman" w:hAnsi="Times New Roman"/>
          <w:szCs w:val="22"/>
        </w:rPr>
      </w:pPr>
      <w:r w:rsidRPr="00D852F6">
        <w:rPr>
          <w:rFonts w:ascii="Times New Roman" w:hAnsi="Times New Roman"/>
          <w:szCs w:val="22"/>
        </w:rPr>
        <w:t>[Where one-year marketing protection/data exclusivity is accepted, please select the statement(s) as provided below, otherwise provide scien</w:t>
      </w:r>
      <w:r w:rsidRPr="00D852F6">
        <w:rPr>
          <w:rFonts w:ascii="Times New Roman" w:hAnsi="Times New Roman"/>
          <w:szCs w:val="22"/>
        </w:rPr>
        <w:t>tific conclusions and grounds.]</w:t>
      </w:r>
    </w:p>
    <w:p w:rsidR="005E367B" w:rsidRPr="00D852F6" w:rsidRDefault="000703BA">
      <w:pPr>
        <w:pStyle w:val="BodytextAgency"/>
        <w:rPr>
          <w:rFonts w:ascii="Times New Roman" w:hAnsi="Times New Roman" w:cs="Times New Roman"/>
          <w:sz w:val="22"/>
          <w:szCs w:val="22"/>
          <w:lang w:val="pl-PL"/>
        </w:rPr>
      </w:pPr>
      <w:r w:rsidRPr="00D852F6">
        <w:rPr>
          <w:rStyle w:val="DraftingNotesAgencyChar"/>
          <w:rFonts w:ascii="Times New Roman" w:hAnsi="Times New Roman" w:cs="Times New Roman"/>
          <w:noProof/>
          <w:sz w:val="22"/>
          <w:szCs w:val="22"/>
          <w:lang w:val="pl-PL"/>
        </w:rPr>
        <w:t>[For Art 14(11)]</w:t>
      </w:r>
      <w:r>
        <w:rPr>
          <w:rStyle w:val="DraftingNotesAgencyChar"/>
          <w:rFonts w:ascii="Times New Roman" w:hAnsi="Times New Roman" w:cs="Times New Roman"/>
          <w:noProof/>
          <w:sz w:val="22"/>
          <w:szCs w:val="22"/>
          <w:lang w:val="pl-PL"/>
        </w:rPr>
        <w:t xml:space="preserve"> </w:t>
      </w:r>
      <w:r w:rsidRPr="00D852F6">
        <w:rPr>
          <w:rFonts w:ascii="Times New Roman" w:hAnsi="Times New Roman" w:cs="Times New Roman"/>
          <w:noProof/>
          <w:sz w:val="22"/>
          <w:szCs w:val="22"/>
          <w:lang w:val="pl-PL"/>
        </w:rPr>
        <w:t>&lt;CHMP dokonał oceny danych przedstawionych przez podmiot odpowiedzialny posiadający pozwolenie na dopuszczenie do obrotu, z uwzględnieniem przepisów wnikających z art. 14 ust.</w:t>
      </w:r>
      <w:r w:rsidRPr="00D852F6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Pr="00D852F6">
        <w:rPr>
          <w:rFonts w:ascii="Times New Roman" w:hAnsi="Times New Roman" w:cs="Times New Roman"/>
          <w:noProof/>
          <w:sz w:val="22"/>
          <w:szCs w:val="22"/>
          <w:lang w:val="pl-PL"/>
        </w:rPr>
        <w:t>11 rozporządzenia (WE) nr 726/2</w:t>
      </w:r>
      <w:r w:rsidRPr="00D852F6">
        <w:rPr>
          <w:rFonts w:ascii="Times New Roman" w:hAnsi="Times New Roman" w:cs="Times New Roman"/>
          <w:noProof/>
          <w:sz w:val="22"/>
          <w:szCs w:val="22"/>
          <w:lang w:val="pl-PL"/>
        </w:rPr>
        <w:t xml:space="preserve">004, i uznaje, że nowe wskazanie terapeutyczne przynosi istotne korzyści kliniczne w porównaniu z </w:t>
      </w:r>
      <w:r>
        <w:rPr>
          <w:rFonts w:ascii="Times New Roman" w:hAnsi="Times New Roman" w:cs="Times New Roman"/>
          <w:noProof/>
          <w:sz w:val="22"/>
          <w:szCs w:val="22"/>
          <w:lang w:val="pl-PL"/>
        </w:rPr>
        <w:t>obecn</w:t>
      </w:r>
      <w:r w:rsidRPr="00D852F6">
        <w:rPr>
          <w:rFonts w:ascii="Times New Roman" w:hAnsi="Times New Roman" w:cs="Times New Roman"/>
          <w:noProof/>
          <w:sz w:val="22"/>
          <w:szCs w:val="22"/>
          <w:lang w:val="pl-PL"/>
        </w:rPr>
        <w:t>ymi terapiami, co zostało szerzej omówione w Europejskim Publicznym Sprawozdaniu Oceniającym.&gt;</w:t>
      </w:r>
    </w:p>
    <w:p w:rsidR="005E367B" w:rsidRPr="00D852F6" w:rsidRDefault="000703BA">
      <w:pPr>
        <w:pStyle w:val="BodytextAgency"/>
        <w:rPr>
          <w:rFonts w:ascii="Times New Roman" w:hAnsi="Times New Roman" w:cs="Times New Roman"/>
          <w:sz w:val="22"/>
          <w:szCs w:val="22"/>
          <w:lang w:val="pl-PL"/>
        </w:rPr>
      </w:pPr>
      <w:r w:rsidRPr="00D852F6">
        <w:rPr>
          <w:rStyle w:val="DraftingNotesAgencyChar"/>
          <w:rFonts w:ascii="Times New Roman" w:hAnsi="Times New Roman" w:cs="Times New Roman"/>
          <w:noProof/>
          <w:sz w:val="22"/>
          <w:szCs w:val="22"/>
          <w:lang w:val="pl-PL"/>
        </w:rPr>
        <w:t>[Art 10(5)]</w:t>
      </w:r>
      <w:r w:rsidRPr="00D852F6">
        <w:rPr>
          <w:rFonts w:ascii="Times New Roman" w:hAnsi="Times New Roman" w:cs="Times New Roman"/>
          <w:i/>
          <w:noProof/>
          <w:color w:val="339966"/>
          <w:kern w:val="32"/>
          <w:sz w:val="22"/>
          <w:szCs w:val="22"/>
          <w:lang w:val="pl-PL"/>
        </w:rPr>
        <w:t xml:space="preserve"> </w:t>
      </w:r>
      <w:r w:rsidRPr="00D852F6">
        <w:rPr>
          <w:rFonts w:ascii="Times New Roman" w:hAnsi="Times New Roman" w:cs="Times New Roman"/>
          <w:noProof/>
          <w:color w:val="000000"/>
          <w:kern w:val="32"/>
          <w:sz w:val="22"/>
          <w:szCs w:val="22"/>
          <w:lang w:val="pl-PL"/>
        </w:rPr>
        <w:t>&lt;CHMP dokonał oceny danych przedstawionych prz</w:t>
      </w:r>
      <w:r w:rsidRPr="00D852F6">
        <w:rPr>
          <w:rFonts w:ascii="Times New Roman" w:hAnsi="Times New Roman" w:cs="Times New Roman"/>
          <w:noProof/>
          <w:color w:val="000000"/>
          <w:kern w:val="32"/>
          <w:sz w:val="22"/>
          <w:szCs w:val="22"/>
          <w:lang w:val="pl-PL"/>
        </w:rPr>
        <w:t xml:space="preserve">ez podmiot odpowiedzialny posiadający pozwolenie na dopuszczenie do obrotu </w:t>
      </w:r>
      <w:r w:rsidRPr="00D852F6">
        <w:rPr>
          <w:rFonts w:ascii="Times New Roman" w:hAnsi="Times New Roman" w:cs="Times New Roman"/>
          <w:noProof/>
          <w:sz w:val="22"/>
          <w:szCs w:val="22"/>
          <w:lang w:val="pl-PL"/>
        </w:rPr>
        <w:t>z uwzględnieniem przepisów wynikających z art. 10 ust.</w:t>
      </w:r>
      <w:r w:rsidRPr="00D852F6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Pr="00D852F6">
        <w:rPr>
          <w:rFonts w:ascii="Times New Roman" w:hAnsi="Times New Roman" w:cs="Times New Roman"/>
          <w:noProof/>
          <w:sz w:val="22"/>
          <w:szCs w:val="22"/>
          <w:lang w:val="pl-PL"/>
        </w:rPr>
        <w:t>5 dyrektywy 2001/83/WE i uznaje, że &lt;badania niekliniczne&gt; &lt;i&gt; &lt;badania kliniczne&gt; przeprowadzone w związku z nowym wskazaniem</w:t>
      </w:r>
      <w:r w:rsidRPr="00D852F6">
        <w:rPr>
          <w:rFonts w:ascii="Times New Roman" w:hAnsi="Times New Roman" w:cs="Times New Roman"/>
          <w:noProof/>
          <w:sz w:val="22"/>
          <w:szCs w:val="22"/>
          <w:lang w:val="pl-PL"/>
        </w:rPr>
        <w:t xml:space="preserve"> były znaczące, co zostało szerzej omówione w Europejskim Publicznym Sprawozdaniu Oceniającym.&gt;</w:t>
      </w:r>
    </w:p>
    <w:p w:rsidR="005E367B" w:rsidRPr="00D852F6" w:rsidRDefault="000703BA" w:rsidP="0029155C">
      <w:pPr>
        <w:pStyle w:val="BodytextAgency"/>
        <w:rPr>
          <w:rFonts w:ascii="Times New Roman" w:hAnsi="Times New Roman" w:cs="Times New Roman"/>
          <w:sz w:val="22"/>
          <w:szCs w:val="22"/>
          <w:lang w:val="pl-PL"/>
        </w:rPr>
      </w:pPr>
      <w:r w:rsidRPr="00D852F6">
        <w:rPr>
          <w:rStyle w:val="DraftingNotesAgencyChar"/>
          <w:rFonts w:ascii="Times New Roman" w:hAnsi="Times New Roman" w:cs="Times New Roman"/>
          <w:bCs/>
          <w:noProof/>
          <w:sz w:val="22"/>
          <w:szCs w:val="22"/>
          <w:lang w:val="pl-PL"/>
        </w:rPr>
        <w:t>[Art 74(a)- legal status switch]</w:t>
      </w:r>
      <w:r>
        <w:rPr>
          <w:rStyle w:val="DraftingNotesAgencyChar"/>
          <w:rFonts w:ascii="Times New Roman" w:hAnsi="Times New Roman" w:cs="Times New Roman"/>
          <w:bCs/>
          <w:noProof/>
          <w:sz w:val="22"/>
          <w:szCs w:val="22"/>
          <w:lang w:val="pl-PL"/>
        </w:rPr>
        <w:t xml:space="preserve"> </w:t>
      </w:r>
      <w:r w:rsidRPr="00D852F6">
        <w:rPr>
          <w:rFonts w:ascii="Times New Roman" w:hAnsi="Times New Roman" w:cs="Times New Roman"/>
          <w:noProof/>
          <w:sz w:val="22"/>
          <w:szCs w:val="22"/>
          <w:lang w:val="pl-PL"/>
        </w:rPr>
        <w:t xml:space="preserve">&lt;Ponadto CHMP dokonał oceny danych przedstawionych przez podmiot odpowiedzialny posiadający </w:t>
      </w:r>
      <w:r w:rsidRPr="00D852F6">
        <w:rPr>
          <w:rFonts w:ascii="Times New Roman" w:hAnsi="Times New Roman" w:cs="Times New Roman"/>
          <w:noProof/>
          <w:color w:val="000000"/>
          <w:sz w:val="22"/>
          <w:szCs w:val="22"/>
          <w:lang w:val="pl-PL"/>
        </w:rPr>
        <w:t>pozwolenie na dopuszczenie do obrot</w:t>
      </w:r>
      <w:r w:rsidRPr="00D852F6">
        <w:rPr>
          <w:rFonts w:ascii="Times New Roman" w:hAnsi="Times New Roman" w:cs="Times New Roman"/>
          <w:noProof/>
          <w:color w:val="000000"/>
          <w:sz w:val="22"/>
          <w:szCs w:val="22"/>
          <w:lang w:val="pl-PL"/>
        </w:rPr>
        <w:t xml:space="preserve">u, </w:t>
      </w:r>
      <w:r w:rsidRPr="00D852F6">
        <w:rPr>
          <w:rFonts w:ascii="Times New Roman" w:hAnsi="Times New Roman" w:cs="Times New Roman"/>
          <w:noProof/>
          <w:sz w:val="22"/>
          <w:szCs w:val="22"/>
          <w:lang w:val="pl-PL"/>
        </w:rPr>
        <w:t>z uwzględnieniem przepisów wynikających z art.74 lit. a) dyrektywy 2001/83/WE, i uznaje, że dane przedstawione na poparcie kategorii dostępności produktu leczniczego {nazwa produktu leczniczego} jako „produktu leczniczego wydawanego bez recepty”, były z</w:t>
      </w:r>
      <w:r w:rsidRPr="00D852F6">
        <w:rPr>
          <w:rFonts w:ascii="Times New Roman" w:hAnsi="Times New Roman" w:cs="Times New Roman"/>
          <w:noProof/>
          <w:sz w:val="22"/>
          <w:szCs w:val="22"/>
          <w:lang w:val="pl-PL"/>
        </w:rPr>
        <w:t>naczące, co zostało szerzej omówione w Europejskim Publicznym Sprawozdaniu Oceniającym.&gt;</w:t>
      </w:r>
    </w:p>
    <w:sectPr w:rsidR="005E367B" w:rsidRPr="00D852F6" w:rsidSect="009249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7" w:right="1247" w:bottom="1417" w:left="1247" w:header="284" w:footer="68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67B" w:rsidRDefault="000703BA">
      <w:pPr>
        <w:rPr>
          <w:rFonts w:cs="Times New Roman"/>
          <w:szCs w:val="24"/>
        </w:rPr>
      </w:pPr>
      <w:r>
        <w:rPr>
          <w:rFonts w:cs="Times New Roman"/>
          <w:szCs w:val="24"/>
        </w:rPr>
        <w:separator/>
      </w:r>
    </w:p>
  </w:endnote>
  <w:endnote w:type="continuationSeparator" w:id="0">
    <w:p w:rsidR="005E367B" w:rsidRDefault="000703BA">
      <w:pPr>
        <w:rPr>
          <w:rFonts w:cs="Times New Roman"/>
          <w:szCs w:val="24"/>
        </w:rPr>
      </w:pPr>
      <w:r>
        <w:rPr>
          <w:rFonts w:cs="Times New Roman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6E3" w:rsidRDefault="00CB56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67B" w:rsidRDefault="000703B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5E367B" w:rsidRPr="00D852F6" w:rsidRDefault="005E367B" w:rsidP="00D852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67B" w:rsidRDefault="005E367B">
    <w:pPr>
      <w:pStyle w:val="Footer"/>
      <w:jc w:val="center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67B" w:rsidRDefault="000703BA">
      <w:pPr>
        <w:rPr>
          <w:rFonts w:cs="Times New Roman"/>
          <w:szCs w:val="24"/>
        </w:rPr>
      </w:pPr>
      <w:r>
        <w:rPr>
          <w:rFonts w:cs="Times New Roman"/>
          <w:szCs w:val="24"/>
        </w:rPr>
        <w:separator/>
      </w:r>
    </w:p>
  </w:footnote>
  <w:footnote w:type="continuationSeparator" w:id="0">
    <w:p w:rsidR="005E367B" w:rsidRDefault="000703BA">
      <w:pPr>
        <w:rPr>
          <w:rFonts w:cs="Times New Roman"/>
          <w:szCs w:val="24"/>
        </w:rPr>
      </w:pPr>
      <w:r>
        <w:rPr>
          <w:rFonts w:cs="Times New Roman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6E3" w:rsidRDefault="00CB56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6E3" w:rsidRDefault="00CB56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6E3" w:rsidRDefault="00CB56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32B25AB"/>
    <w:multiLevelType w:val="multilevel"/>
    <w:tmpl w:val="BA84D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3">
    <w:nsid w:val="09C44CC1"/>
    <w:multiLevelType w:val="hybridMultilevel"/>
    <w:tmpl w:val="7FF2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127BC8"/>
    <w:multiLevelType w:val="multilevel"/>
    <w:tmpl w:val="A66AC686"/>
    <w:lvl w:ilvl="0">
      <w:start w:val="1"/>
      <w:numFmt w:val="decimal"/>
      <w:suff w:val="space"/>
      <w:lvlText w:val="Table %1. "/>
      <w:lvlJc w:val="left"/>
      <w:rPr>
        <w:rFonts w:ascii="Verdana" w:hAnsi="Verdana" w:cs="Times New Roman" w:hint="default"/>
        <w:b/>
        <w:i w:val="0"/>
        <w:sz w:val="18"/>
        <w:szCs w:val="18"/>
      </w:rPr>
    </w:lvl>
    <w:lvl w:ilvl="1">
      <w:start w:val="1"/>
      <w:numFmt w:val="decimalZero"/>
      <w:lvlText w:val="%1Section .%2"/>
      <w:lvlJc w:val="left"/>
      <w:pPr>
        <w:tabs>
          <w:tab w:val="num" w:pos="108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5">
    <w:nsid w:val="0E7A0AF4"/>
    <w:multiLevelType w:val="multilevel"/>
    <w:tmpl w:val="14DA7716"/>
    <w:lvl w:ilvl="0">
      <w:start w:val="1"/>
      <w:numFmt w:val="decimal"/>
      <w:suff w:val="space"/>
      <w:lvlText w:val="Figure %1. "/>
      <w:lvlJc w:val="left"/>
      <w:pPr>
        <w:ind w:left="432" w:hanging="432"/>
      </w:pPr>
      <w:rPr>
        <w:rFonts w:ascii="Verdana" w:hAnsi="Verdana" w:cs="Times New Roman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</w:abstractNum>
  <w:abstractNum w:abstractNumId="7">
    <w:nsid w:val="2CA60FFC"/>
    <w:multiLevelType w:val="multilevel"/>
    <w:tmpl w:val="E79A8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1080"/>
        </w:tabs>
        <w:ind w:left="1080"/>
      </w:pPr>
      <w:rPr>
        <w:rFonts w:cs="Times New Roman" w:hint="default"/>
      </w:rPr>
    </w:lvl>
  </w:abstractNum>
  <w:abstractNum w:abstractNumId="8">
    <w:nsid w:val="3BBC5C0D"/>
    <w:multiLevelType w:val="multilevel"/>
    <w:tmpl w:val="9138A3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rinda" w:hAnsi="Vrinda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9">
    <w:nsid w:val="4A9622BD"/>
    <w:multiLevelType w:val="hybridMultilevel"/>
    <w:tmpl w:val="DDACC5C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1E21733"/>
    <w:multiLevelType w:val="multilevel"/>
    <w:tmpl w:val="A94C57BE"/>
    <w:lvl w:ilvl="0">
      <w:start w:val="1"/>
      <w:numFmt w:val="decimal"/>
      <w:suff w:val="space"/>
      <w:lvlText w:val="%1. 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 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. 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. 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. 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. "/>
      <w:lvlJc w:val="left"/>
      <w:rPr>
        <w:rFonts w:cs="Times New Roman" w:hint="default"/>
      </w:rPr>
    </w:lvl>
    <w:lvl w:ilvl="6">
      <w:start w:val="1"/>
      <w:numFmt w:val="decimal"/>
      <w:suff w:val="space"/>
      <w:lvlText w:val="%1.%2.%3.%4.%5.%6.%7. "/>
      <w:lvlJc w:val="left"/>
      <w:rPr>
        <w:rFonts w:cs="Times New Roman" w:hint="default"/>
      </w:rPr>
    </w:lvl>
    <w:lvl w:ilvl="7">
      <w:start w:val="1"/>
      <w:numFmt w:val="decimal"/>
      <w:suff w:val="space"/>
      <w:lvlText w:val="%1.%2.%3.%4.%5.%6.%7.%8. "/>
      <w:lvlJc w:val="left"/>
      <w:rPr>
        <w:rFonts w:cs="Times New Roman" w:hint="default"/>
      </w:rPr>
    </w:lvl>
    <w:lvl w:ilvl="8">
      <w:start w:val="1"/>
      <w:numFmt w:val="decimal"/>
      <w:suff w:val="space"/>
      <w:lvlText w:val="%1.%2.%3.%4.%5.%6.%7.%8.%9. "/>
      <w:lvlJc w:val="left"/>
      <w:rPr>
        <w:rFonts w:cs="Times New Roman" w:hint="default"/>
      </w:rPr>
    </w:lvl>
  </w:abstractNum>
  <w:abstractNum w:abstractNumId="11">
    <w:nsid w:val="54494098"/>
    <w:multiLevelType w:val="hybridMultilevel"/>
    <w:tmpl w:val="0DFA87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2D83757"/>
    <w:multiLevelType w:val="multilevel"/>
    <w:tmpl w:val="A02E932A"/>
    <w:numStyleLink w:val="BulletsAgency"/>
  </w:abstractNum>
  <w:abstractNum w:abstractNumId="13">
    <w:nsid w:val="65CF04A8"/>
    <w:multiLevelType w:val="multilevel"/>
    <w:tmpl w:val="9138A3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rinda" w:hAnsi="Vrinda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14">
    <w:nsid w:val="69E95A54"/>
    <w:multiLevelType w:val="hybridMultilevel"/>
    <w:tmpl w:val="93BE8EFA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B317676"/>
    <w:multiLevelType w:val="multilevel"/>
    <w:tmpl w:val="A02E932A"/>
    <w:numStyleLink w:val="BulletsAgency"/>
  </w:abstractNum>
  <w:abstractNum w:abstractNumId="16">
    <w:nsid w:val="772B6FE1"/>
    <w:multiLevelType w:val="multilevel"/>
    <w:tmpl w:val="7614763A"/>
    <w:numStyleLink w:val="NumberlistAgency"/>
  </w:abstractNum>
  <w:num w:numId="1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3"/>
  </w:num>
  <w:num w:numId="4">
    <w:abstractNumId w:val="2"/>
  </w:num>
  <w:num w:numId="5">
    <w:abstractNumId w:val="5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6"/>
  </w:num>
  <w:num w:numId="16">
    <w:abstractNumId w:val="4"/>
  </w:num>
  <w:num w:numId="17">
    <w:abstractNumId w:val="2"/>
  </w:num>
  <w:num w:numId="18">
    <w:abstractNumId w:val="5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6"/>
  </w:num>
  <w:num w:numId="29">
    <w:abstractNumId w:val="4"/>
  </w:num>
  <w:num w:numId="30">
    <w:abstractNumId w:val="15"/>
  </w:num>
  <w:num w:numId="31">
    <w:abstractNumId w:val="12"/>
  </w:num>
  <w:num w:numId="32">
    <w:abstractNumId w:val="14"/>
  </w:num>
  <w:num w:numId="33">
    <w:abstractNumId w:val="13"/>
  </w:num>
  <w:num w:numId="34">
    <w:abstractNumId w:val="16"/>
  </w:num>
  <w:num w:numId="35">
    <w:abstractNumId w:val="9"/>
  </w:num>
  <w:num w:numId="36">
    <w:abstractNumId w:val="8"/>
  </w:num>
  <w:num w:numId="37">
    <w:abstractNumId w:val="7"/>
  </w:num>
  <w:num w:numId="3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9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81E"/>
    <w:rsid w:val="00001D6F"/>
    <w:rsid w:val="00015C18"/>
    <w:rsid w:val="00035749"/>
    <w:rsid w:val="0006077F"/>
    <w:rsid w:val="00064702"/>
    <w:rsid w:val="000703BA"/>
    <w:rsid w:val="00073B64"/>
    <w:rsid w:val="000A045B"/>
    <w:rsid w:val="000A14E5"/>
    <w:rsid w:val="000B35E2"/>
    <w:rsid w:val="000B40E1"/>
    <w:rsid w:val="000C0D39"/>
    <w:rsid w:val="001002D6"/>
    <w:rsid w:val="00114314"/>
    <w:rsid w:val="00120306"/>
    <w:rsid w:val="00154006"/>
    <w:rsid w:val="0015418F"/>
    <w:rsid w:val="00170A44"/>
    <w:rsid w:val="00172E8A"/>
    <w:rsid w:val="0017520E"/>
    <w:rsid w:val="001802FE"/>
    <w:rsid w:val="00184D8C"/>
    <w:rsid w:val="001A0DE6"/>
    <w:rsid w:val="001B06B5"/>
    <w:rsid w:val="001D3282"/>
    <w:rsid w:val="00202F0F"/>
    <w:rsid w:val="002061F7"/>
    <w:rsid w:val="002122BB"/>
    <w:rsid w:val="00220D27"/>
    <w:rsid w:val="002230E8"/>
    <w:rsid w:val="0023318C"/>
    <w:rsid w:val="00266015"/>
    <w:rsid w:val="00274FA3"/>
    <w:rsid w:val="00277336"/>
    <w:rsid w:val="00277B40"/>
    <w:rsid w:val="0029155C"/>
    <w:rsid w:val="00294F3C"/>
    <w:rsid w:val="002A264B"/>
    <w:rsid w:val="002F2987"/>
    <w:rsid w:val="00313A0E"/>
    <w:rsid w:val="003371B1"/>
    <w:rsid w:val="0035458E"/>
    <w:rsid w:val="00356D98"/>
    <w:rsid w:val="00363C50"/>
    <w:rsid w:val="00371138"/>
    <w:rsid w:val="003A5A31"/>
    <w:rsid w:val="003C19A0"/>
    <w:rsid w:val="003C6FC9"/>
    <w:rsid w:val="003C7F60"/>
    <w:rsid w:val="003E2FFF"/>
    <w:rsid w:val="003F5FFD"/>
    <w:rsid w:val="003F79D5"/>
    <w:rsid w:val="0041306E"/>
    <w:rsid w:val="00415A9D"/>
    <w:rsid w:val="004520B1"/>
    <w:rsid w:val="0047006E"/>
    <w:rsid w:val="00476C3E"/>
    <w:rsid w:val="004A2E29"/>
    <w:rsid w:val="004B02FB"/>
    <w:rsid w:val="004C133B"/>
    <w:rsid w:val="00501427"/>
    <w:rsid w:val="00592CE4"/>
    <w:rsid w:val="005C1DA3"/>
    <w:rsid w:val="005C3479"/>
    <w:rsid w:val="005D32DB"/>
    <w:rsid w:val="005E0EC9"/>
    <w:rsid w:val="005E1D0C"/>
    <w:rsid w:val="005E367B"/>
    <w:rsid w:val="005E7D89"/>
    <w:rsid w:val="005F68DA"/>
    <w:rsid w:val="006003D3"/>
    <w:rsid w:val="006603C0"/>
    <w:rsid w:val="00694026"/>
    <w:rsid w:val="006B14D2"/>
    <w:rsid w:val="006B25E8"/>
    <w:rsid w:val="006B739E"/>
    <w:rsid w:val="006D15CA"/>
    <w:rsid w:val="006E30D5"/>
    <w:rsid w:val="006F63C6"/>
    <w:rsid w:val="00706020"/>
    <w:rsid w:val="0073502D"/>
    <w:rsid w:val="00740E98"/>
    <w:rsid w:val="007461A8"/>
    <w:rsid w:val="00755561"/>
    <w:rsid w:val="00783588"/>
    <w:rsid w:val="007B502B"/>
    <w:rsid w:val="007D3CFA"/>
    <w:rsid w:val="00822C44"/>
    <w:rsid w:val="00826C59"/>
    <w:rsid w:val="008312A7"/>
    <w:rsid w:val="00850D6F"/>
    <w:rsid w:val="00853BDA"/>
    <w:rsid w:val="00855CBC"/>
    <w:rsid w:val="00866D0B"/>
    <w:rsid w:val="008678B4"/>
    <w:rsid w:val="0089021C"/>
    <w:rsid w:val="009235CB"/>
    <w:rsid w:val="00924989"/>
    <w:rsid w:val="00924CB3"/>
    <w:rsid w:val="00931AE3"/>
    <w:rsid w:val="00971872"/>
    <w:rsid w:val="00975873"/>
    <w:rsid w:val="009A3B7C"/>
    <w:rsid w:val="009A4F0F"/>
    <w:rsid w:val="009C00CB"/>
    <w:rsid w:val="009C071B"/>
    <w:rsid w:val="009F6951"/>
    <w:rsid w:val="00A03717"/>
    <w:rsid w:val="00A6610A"/>
    <w:rsid w:val="00A720C7"/>
    <w:rsid w:val="00A870A9"/>
    <w:rsid w:val="00AB6CFB"/>
    <w:rsid w:val="00AC15F7"/>
    <w:rsid w:val="00AF081E"/>
    <w:rsid w:val="00AF5D60"/>
    <w:rsid w:val="00B12AAC"/>
    <w:rsid w:val="00B333E5"/>
    <w:rsid w:val="00B53E3C"/>
    <w:rsid w:val="00B74651"/>
    <w:rsid w:val="00B9497B"/>
    <w:rsid w:val="00BA0C40"/>
    <w:rsid w:val="00BD4A26"/>
    <w:rsid w:val="00BD59A1"/>
    <w:rsid w:val="00BD78FF"/>
    <w:rsid w:val="00C17891"/>
    <w:rsid w:val="00C263C9"/>
    <w:rsid w:val="00C30191"/>
    <w:rsid w:val="00C31ABE"/>
    <w:rsid w:val="00C50C32"/>
    <w:rsid w:val="00C54ECA"/>
    <w:rsid w:val="00C57461"/>
    <w:rsid w:val="00C66602"/>
    <w:rsid w:val="00CB56E3"/>
    <w:rsid w:val="00CB767B"/>
    <w:rsid w:val="00CD1ADC"/>
    <w:rsid w:val="00CD2E0F"/>
    <w:rsid w:val="00CD2ECF"/>
    <w:rsid w:val="00CE4215"/>
    <w:rsid w:val="00CE711E"/>
    <w:rsid w:val="00CF77E3"/>
    <w:rsid w:val="00D053D7"/>
    <w:rsid w:val="00D62F0E"/>
    <w:rsid w:val="00D67EB3"/>
    <w:rsid w:val="00D76017"/>
    <w:rsid w:val="00D852F6"/>
    <w:rsid w:val="00DA0D0B"/>
    <w:rsid w:val="00DC05D6"/>
    <w:rsid w:val="00DE3005"/>
    <w:rsid w:val="00DE6E31"/>
    <w:rsid w:val="00E13FF7"/>
    <w:rsid w:val="00E8792D"/>
    <w:rsid w:val="00E93D56"/>
    <w:rsid w:val="00ED2E50"/>
    <w:rsid w:val="00ED2E63"/>
    <w:rsid w:val="00EF4AF1"/>
    <w:rsid w:val="00F23B28"/>
    <w:rsid w:val="00F320C0"/>
    <w:rsid w:val="00F34963"/>
    <w:rsid w:val="00F5142A"/>
    <w:rsid w:val="00F554CD"/>
    <w:rsid w:val="00F86CE6"/>
    <w:rsid w:val="00F966C2"/>
    <w:rsid w:val="00FB4BDC"/>
    <w:rsid w:val="00FC1B1E"/>
    <w:rsid w:val="00FC7AC1"/>
    <w:rsid w:val="00FE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9D5"/>
    <w:rPr>
      <w:rFonts w:ascii="Verdana" w:hAnsi="Verdana" w:cs="Verdana"/>
      <w:sz w:val="18"/>
      <w:szCs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F79D5"/>
    <w:pPr>
      <w:tabs>
        <w:tab w:val="center" w:pos="4536"/>
        <w:tab w:val="right" w:pos="8306"/>
      </w:tabs>
    </w:pPr>
    <w:rPr>
      <w:rFonts w:cs="Times New Roman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F79D5"/>
    <w:rPr>
      <w:rFonts w:ascii="Verdana" w:hAnsi="Verdana"/>
      <w:snapToGrid w:val="0"/>
      <w:sz w:val="18"/>
      <w:lang w:val="en-GB"/>
    </w:rPr>
  </w:style>
  <w:style w:type="paragraph" w:customStyle="1" w:styleId="FooterAgency">
    <w:name w:val="Footer (Agency)"/>
    <w:basedOn w:val="Normal"/>
    <w:uiPriority w:val="99"/>
    <w:rsid w:val="003F79D5"/>
    <w:rPr>
      <w:color w:val="6D6F71"/>
      <w:sz w:val="14"/>
      <w:szCs w:val="14"/>
    </w:rPr>
  </w:style>
  <w:style w:type="paragraph" w:customStyle="1" w:styleId="PagenumberAgency">
    <w:name w:val="Page number (Agency)"/>
    <w:basedOn w:val="Normal"/>
    <w:next w:val="Normal"/>
    <w:uiPriority w:val="99"/>
    <w:rsid w:val="003F79D5"/>
    <w:pPr>
      <w:tabs>
        <w:tab w:val="right" w:pos="9781"/>
      </w:tabs>
      <w:jc w:val="right"/>
    </w:pPr>
    <w:rPr>
      <w:noProof/>
      <w:color w:val="6D6F71"/>
      <w:sz w:val="14"/>
      <w:szCs w:val="14"/>
      <w:lang w:val="en-US"/>
    </w:rPr>
  </w:style>
  <w:style w:type="paragraph" w:customStyle="1" w:styleId="BodytextAgency">
    <w:name w:val="Body text (Agency)"/>
    <w:basedOn w:val="Normal"/>
    <w:uiPriority w:val="99"/>
    <w:rsid w:val="003F79D5"/>
    <w:pPr>
      <w:spacing w:after="140" w:line="280" w:lineRule="atLeast"/>
    </w:pPr>
  </w:style>
  <w:style w:type="paragraph" w:customStyle="1" w:styleId="DraftingNotesAgency">
    <w:name w:val="Drafting Notes (Agency)"/>
    <w:basedOn w:val="Normal"/>
    <w:next w:val="BodytextAgency"/>
    <w:uiPriority w:val="99"/>
    <w:rsid w:val="003F79D5"/>
    <w:pPr>
      <w:spacing w:after="140" w:line="280" w:lineRule="atLeast"/>
    </w:pPr>
    <w:rPr>
      <w:rFonts w:ascii="Courier New" w:hAnsi="Courier New" w:cs="Times New Roman"/>
      <w:i/>
      <w:color w:val="339966"/>
      <w:sz w:val="22"/>
    </w:rPr>
  </w:style>
  <w:style w:type="paragraph" w:customStyle="1" w:styleId="No-numheading3Agency">
    <w:name w:val="No-num heading 3 (Agency)"/>
    <w:uiPriority w:val="99"/>
    <w:rsid w:val="003F79D5"/>
    <w:pPr>
      <w:keepNext/>
      <w:spacing w:before="280" w:after="220"/>
      <w:outlineLvl w:val="2"/>
    </w:pPr>
    <w:rPr>
      <w:rFonts w:ascii="Verdana" w:hAnsi="Verdana" w:cs="Arial"/>
      <w:b/>
      <w:bCs/>
      <w:kern w:val="32"/>
      <w:sz w:val="22"/>
      <w:szCs w:val="22"/>
      <w:lang w:eastAsia="en-US"/>
    </w:rPr>
  </w:style>
  <w:style w:type="paragraph" w:customStyle="1" w:styleId="NormalAgency">
    <w:name w:val="Normal (Agency)"/>
    <w:uiPriority w:val="99"/>
    <w:rsid w:val="003F79D5"/>
    <w:rPr>
      <w:rFonts w:ascii="Verdana" w:hAnsi="Verdana" w:cs="Verdana"/>
      <w:sz w:val="18"/>
      <w:szCs w:val="18"/>
      <w:lang w:eastAsia="en-US"/>
    </w:rPr>
  </w:style>
  <w:style w:type="character" w:customStyle="1" w:styleId="DraftingNotesAgencyChar">
    <w:name w:val="Drafting Notes (Agency) Char"/>
    <w:uiPriority w:val="99"/>
    <w:locked/>
    <w:rsid w:val="003F79D5"/>
    <w:rPr>
      <w:rFonts w:ascii="Courier New" w:hAnsi="Courier New"/>
      <w:i/>
      <w:color w:val="339966"/>
      <w:sz w:val="18"/>
      <w:lang w:val="en-GB"/>
    </w:rPr>
  </w:style>
  <w:style w:type="character" w:customStyle="1" w:styleId="tw4winMark">
    <w:name w:val="tw4winMark"/>
    <w:uiPriority w:val="99"/>
    <w:rsid w:val="003F79D5"/>
    <w:rPr>
      <w:rFonts w:ascii="Courier New" w:hAnsi="Courier New"/>
      <w:vanish/>
      <w:color w:val="800080"/>
      <w:vertAlign w:val="subscript"/>
    </w:rPr>
  </w:style>
  <w:style w:type="character" w:customStyle="1" w:styleId="tw4winError">
    <w:name w:val="tw4winError"/>
    <w:uiPriority w:val="99"/>
    <w:rsid w:val="003F79D5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3F79D5"/>
    <w:rPr>
      <w:color w:val="0000FF"/>
    </w:rPr>
  </w:style>
  <w:style w:type="character" w:customStyle="1" w:styleId="tw4winPopup">
    <w:name w:val="tw4winPopup"/>
    <w:uiPriority w:val="99"/>
    <w:rsid w:val="003F79D5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3F79D5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sid w:val="003F79D5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sid w:val="003F79D5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sid w:val="003F79D5"/>
    <w:rPr>
      <w:rFonts w:ascii="Courier New" w:hAnsi="Courier New"/>
      <w:noProof/>
      <w:color w:val="800000"/>
    </w:rPr>
  </w:style>
  <w:style w:type="character" w:styleId="CommentReference">
    <w:name w:val="annotation reference"/>
    <w:basedOn w:val="DefaultParagraphFont"/>
    <w:uiPriority w:val="99"/>
    <w:semiHidden/>
    <w:rsid w:val="00C54EC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C54ECA"/>
    <w:rPr>
      <w:rFonts w:cs="Times New Roman"/>
      <w:sz w:val="20"/>
      <w:szCs w:val="20"/>
      <w:lang w:val="pl-P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C19A0"/>
    <w:rPr>
      <w:rFonts w:ascii="Verdana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54E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C19A0"/>
    <w:rPr>
      <w:rFonts w:ascii="Verdana" w:hAnsi="Verdana"/>
      <w:b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54ECA"/>
    <w:rPr>
      <w:rFonts w:ascii="Times New Roman" w:hAnsi="Times New Roman" w:cs="Times New Roman"/>
      <w:sz w:val="2"/>
      <w:szCs w:val="20"/>
      <w:lang w:val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19A0"/>
    <w:rPr>
      <w:sz w:val="2"/>
      <w:lang w:eastAsia="en-US"/>
    </w:rPr>
  </w:style>
  <w:style w:type="paragraph" w:styleId="Header">
    <w:name w:val="header"/>
    <w:basedOn w:val="Normal"/>
    <w:link w:val="HeaderChar"/>
    <w:uiPriority w:val="99"/>
    <w:rsid w:val="00D852F6"/>
    <w:pPr>
      <w:tabs>
        <w:tab w:val="center" w:pos="4513"/>
        <w:tab w:val="right" w:pos="9026"/>
      </w:tabs>
    </w:pPr>
    <w:rPr>
      <w:rFonts w:cs="Times New Roman"/>
      <w:lang w:val="pl-P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852F6"/>
    <w:rPr>
      <w:rFonts w:ascii="Verdana" w:hAnsi="Verdana"/>
      <w:sz w:val="18"/>
      <w:lang w:eastAsia="en-US"/>
    </w:rPr>
  </w:style>
  <w:style w:type="numbering" w:customStyle="1" w:styleId="BulletsAgency">
    <w:name w:val="Bullets (Agency)"/>
    <w:rsid w:val="00050136"/>
    <w:pPr>
      <w:numPr>
        <w:numId w:val="4"/>
      </w:numPr>
    </w:pPr>
  </w:style>
  <w:style w:type="numbering" w:customStyle="1" w:styleId="NumberlistAgency">
    <w:name w:val="Number list (Agency)"/>
    <w:rsid w:val="00050136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4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4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4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647726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64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64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364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364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3647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64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squezg\AppData\Local\Microsoft\Windows\Temporary%20Internet%20Files\Content.MSO\3F4D2DF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3F4D2DFF.DOT</Template>
  <TotalTime>0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HannexIVstandardpl</vt:lpstr>
    </vt:vector>
  </TitlesOfParts>
  <Company>Translation Centre</Company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HannexIVstandardpl</dc:title>
  <dc:creator>European Medicines Agency</dc:creator>
  <cp:lastModifiedBy>Akhtar Tia</cp:lastModifiedBy>
  <cp:revision>2</cp:revision>
  <cp:lastPrinted>2012-05-29T14:00:00Z</cp:lastPrinted>
  <dcterms:created xsi:type="dcterms:W3CDTF">2019-09-19T14:46:00Z</dcterms:created>
  <dcterms:modified xsi:type="dcterms:W3CDTF">2019-09-19T14:46:00Z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Templates and Form</vt:lpwstr>
  </property>
  <property fmtid="{D5CDD505-2E9C-101B-9397-08002B2CF9AE}" pid="4" name="DM_Creation_Date">
    <vt:lpwstr>12/10/2018 14:13:53</vt:lpwstr>
  </property>
  <property fmtid="{D5CDD505-2E9C-101B-9397-08002B2CF9AE}" pid="5" name="DM_Creator_Name">
    <vt:lpwstr>Akhtar Timea</vt:lpwstr>
  </property>
  <property fmtid="{D5CDD505-2E9C-101B-9397-08002B2CF9AE}" pid="6" name="DM_DocRefId">
    <vt:lpwstr>EMA/713552/2018</vt:lpwstr>
  </property>
  <property fmtid="{D5CDD505-2E9C-101B-9397-08002B2CF9AE}" pid="7" name="DM_emea_doc_ref_id">
    <vt:lpwstr>EMA/713552/2018</vt:lpwstr>
  </property>
  <property fmtid="{D5CDD505-2E9C-101B-9397-08002B2CF9AE}" pid="8" name="DM_Keywords">
    <vt:lpwstr/>
  </property>
  <property fmtid="{D5CDD505-2E9C-101B-9397-08002B2CF9AE}" pid="9" name="DM_Language">
    <vt:lpwstr/>
  </property>
  <property fmtid="{D5CDD505-2E9C-101B-9397-08002B2CF9AE}" pid="10" name="DM_Modifer_Name">
    <vt:lpwstr>Akhtar Timea</vt:lpwstr>
  </property>
  <property fmtid="{D5CDD505-2E9C-101B-9397-08002B2CF9AE}" pid="11" name="DM_Modified_Date">
    <vt:lpwstr>12/10/2018 14:13:53</vt:lpwstr>
  </property>
  <property fmtid="{D5CDD505-2E9C-101B-9397-08002B2CF9AE}" pid="12" name="DM_Modifier_Name">
    <vt:lpwstr>Akhtar Timea</vt:lpwstr>
  </property>
  <property fmtid="{D5CDD505-2E9C-101B-9397-08002B2CF9AE}" pid="13" name="DM_Modify_Date">
    <vt:lpwstr>12/10/2018 14:13:53</vt:lpwstr>
  </property>
  <property fmtid="{D5CDD505-2E9C-101B-9397-08002B2CF9AE}" pid="14" name="DM_Name">
    <vt:lpwstr>HannexIVstandardpl</vt:lpwstr>
  </property>
  <property fmtid="{D5CDD505-2E9C-101B-9397-08002B2CF9AE}" pid="15" name="DM_Path">
    <vt:lpwstr>/02b. Administration of Scientific Meeting/WPs SAGs DGs and other WGs/CxMP - QRD/3. Other activities/01. Product Reviews/05. AD HOC linguistic reviews/17 Annex IV revision 10-2016/3. Final translations for publication/Standard</vt:lpwstr>
  </property>
  <property fmtid="{D5CDD505-2E9C-101B-9397-08002B2CF9AE}" pid="16" name="DM_Status">
    <vt:lpwstr/>
  </property>
  <property fmtid="{D5CDD505-2E9C-101B-9397-08002B2CF9AE}" pid="17" name="DM_Subject">
    <vt:lpwstr/>
  </property>
  <property fmtid="{D5CDD505-2E9C-101B-9397-08002B2CF9AE}" pid="18" name="DM_Title">
    <vt:lpwstr/>
  </property>
  <property fmtid="{D5CDD505-2E9C-101B-9397-08002B2CF9AE}" pid="19" name="DM_Type">
    <vt:lpwstr>emea_document</vt:lpwstr>
  </property>
  <property fmtid="{D5CDD505-2E9C-101B-9397-08002B2CF9AE}" pid="20" name="DM_Version">
    <vt:lpwstr>1.0,CURRENT</vt:lpwstr>
  </property>
  <property fmtid="{D5CDD505-2E9C-101B-9397-08002B2CF9AE}" pid="21" name="EMEADocClassifcationCode">
    <vt:lpwstr> </vt:lpwstr>
  </property>
  <property fmtid="{D5CDD505-2E9C-101B-9397-08002B2CF9AE}" pid="22" name="EMEADocClassificationText">
    <vt:lpwstr> </vt:lpwstr>
  </property>
  <property fmtid="{D5CDD505-2E9C-101B-9397-08002B2CF9AE}" pid="23" name="EMEADocDate">
    <vt:lpwstr> </vt:lpwstr>
  </property>
  <property fmtid="{D5CDD505-2E9C-101B-9397-08002B2CF9AE}" pid="24" name="EMEADocDateDay">
    <vt:lpwstr> </vt:lpwstr>
  </property>
  <property fmtid="{D5CDD505-2E9C-101B-9397-08002B2CF9AE}" pid="25" name="EMEADocDateMonth">
    <vt:lpwstr> </vt:lpwstr>
  </property>
  <property fmtid="{D5CDD505-2E9C-101B-9397-08002B2CF9AE}" pid="26" name="EMEADocDateYear">
    <vt:lpwstr> </vt:lpwstr>
  </property>
  <property fmtid="{D5CDD505-2E9C-101B-9397-08002B2CF9AE}" pid="27" name="EMEADocExtCatTitle">
    <vt:lpwstr> </vt:lpwstr>
  </property>
  <property fmtid="{D5CDD505-2E9C-101B-9397-08002B2CF9AE}" pid="28" name="EMEADocLanguage">
    <vt:lpwstr> </vt:lpwstr>
  </property>
  <property fmtid="{D5CDD505-2E9C-101B-9397-08002B2CF9AE}" pid="29" name="EMEADocRefFull">
    <vt:lpwstr>EMEA/xxxx/xx/EN</vt:lpwstr>
  </property>
  <property fmtid="{D5CDD505-2E9C-101B-9397-08002B2CF9AE}" pid="30" name="EMEADocRefNum">
    <vt:lpwstr> </vt:lpwstr>
  </property>
  <property fmtid="{D5CDD505-2E9C-101B-9397-08002B2CF9AE}" pid="31" name="EMEADocRefPartFreeText">
    <vt:lpwstr> </vt:lpwstr>
  </property>
  <property fmtid="{D5CDD505-2E9C-101B-9397-08002B2CF9AE}" pid="32" name="EMEADocRefRoot">
    <vt:lpwstr> </vt:lpwstr>
  </property>
  <property fmtid="{D5CDD505-2E9C-101B-9397-08002B2CF9AE}" pid="33" name="EMEADocRefYear">
    <vt:lpwstr> </vt:lpwstr>
  </property>
  <property fmtid="{D5CDD505-2E9C-101B-9397-08002B2CF9AE}" pid="34" name="EMEADocStatus">
    <vt:lpwstr> </vt:lpwstr>
  </property>
  <property fmtid="{D5CDD505-2E9C-101B-9397-08002B2CF9AE}" pid="35" name="EMEADocTitle">
    <vt:lpwstr> </vt:lpwstr>
  </property>
  <property fmtid="{D5CDD505-2E9C-101B-9397-08002B2CF9AE}" pid="36" name="EMEADocTypeCode">
    <vt:lpwstr> </vt:lpwstr>
  </property>
  <property fmtid="{D5CDD505-2E9C-101B-9397-08002B2CF9AE}" pid="37" name="EMEADocVersion">
    <vt:lpwstr> </vt:lpwstr>
  </property>
  <property fmtid="{D5CDD505-2E9C-101B-9397-08002B2CF9AE}" pid="38" name="EMEDDocRefPart0">
    <vt:lpwstr> </vt:lpwstr>
  </property>
  <property fmtid="{D5CDD505-2E9C-101B-9397-08002B2CF9AE}" pid="39" name="EMEDDocRefPart1">
    <vt:lpwstr> </vt:lpwstr>
  </property>
  <property fmtid="{D5CDD505-2E9C-101B-9397-08002B2CF9AE}" pid="40" name="EMEDDocRefPart2">
    <vt:lpwstr> </vt:lpwstr>
  </property>
  <property fmtid="{D5CDD505-2E9C-101B-9397-08002B2CF9AE}" pid="41" name="EMEDDocRefPart3">
    <vt:lpwstr> </vt:lpwstr>
  </property>
</Properties>
</file>