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W w:w="152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7283"/>
        <w:gridCol w:w="7283"/>
      </w:tblGrid>
      <w:tr w14:paraId="63A868AA" w14:textId="77777777">
        <w:tblPrEx>
          <w:tblW w:w="15222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656" w:type="dxa"/>
            <w:tcBorders>
              <w:top w:val="single" w:sz="4" w:space="0" w:color="auto"/>
            </w:tcBorders>
            <w:shd w:val="clear" w:color="auto" w:fill="E0E0E0"/>
          </w:tcPr>
          <w:p w:rsidR="005D2209" w:rsidP="005D2209" w14:paraId="71201563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Ref</w:t>
            </w:r>
          </w:p>
        </w:tc>
        <w:tc>
          <w:tcPr>
            <w:tcW w:w="7283" w:type="dxa"/>
            <w:tcBorders>
              <w:top w:val="single" w:sz="4" w:space="0" w:color="auto"/>
            </w:tcBorders>
            <w:shd w:val="clear" w:color="auto" w:fill="E0E0E0"/>
          </w:tcPr>
          <w:p w:rsidR="005D2209" w:rsidP="005D2209" w14:paraId="76E1772A" w14:textId="77777777">
            <w:pPr>
              <w:pStyle w:val="Heading1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EN</w:t>
            </w:r>
          </w:p>
        </w:tc>
        <w:tc>
          <w:tcPr>
            <w:tcW w:w="7283" w:type="dxa"/>
            <w:tcBorders>
              <w:top w:val="single" w:sz="4" w:space="0" w:color="auto"/>
            </w:tcBorders>
            <w:shd w:val="clear" w:color="auto" w:fill="E0E0E0"/>
          </w:tcPr>
          <w:p w:rsidR="005D2209" w:rsidP="005D2209" w14:paraId="42A589E8" w14:textId="77777777">
            <w:pPr>
              <w:pStyle w:val="Heading1"/>
              <w:rPr>
                <w:lang w:val="da-DK"/>
              </w:rPr>
            </w:pPr>
            <w:r>
              <w:rPr>
                <w:lang w:val="da-DK"/>
              </w:rPr>
              <w:t>PL</w:t>
            </w:r>
          </w:p>
        </w:tc>
      </w:tr>
      <w:tr w14:paraId="028CF551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4EC4245D" w14:textId="77777777">
            <w:pPr>
              <w:rPr>
                <w:noProof/>
                <w:sz w:val="22"/>
                <w:lang w:val="sv-SE"/>
              </w:rPr>
            </w:pPr>
          </w:p>
        </w:tc>
        <w:tc>
          <w:tcPr>
            <w:tcW w:w="7283" w:type="dxa"/>
          </w:tcPr>
          <w:p w:rsidR="005D2209" w:rsidP="005D2209" w14:paraId="55B3DF1F" w14:textId="77777777">
            <w:pPr>
              <w:pStyle w:val="EndnoteText"/>
              <w:tabs>
                <w:tab w:val="clear" w:pos="567"/>
              </w:tabs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[MedDRA frequency convention]</w:t>
            </w:r>
          </w:p>
        </w:tc>
        <w:tc>
          <w:tcPr>
            <w:tcW w:w="7283" w:type="dxa"/>
          </w:tcPr>
          <w:p w:rsidR="005D2209" w:rsidP="005D2209" w14:paraId="70839235" w14:textId="77777777">
            <w:pPr>
              <w:rPr>
                <w:b/>
                <w:i/>
                <w:noProof/>
                <w:sz w:val="22"/>
                <w:lang w:val="pl-PL"/>
              </w:rPr>
            </w:pPr>
            <w:r>
              <w:rPr>
                <w:b/>
                <w:i/>
                <w:noProof/>
                <w:sz w:val="22"/>
                <w:lang w:val="pl-PL"/>
              </w:rPr>
              <w:t>[Konwencja MedDRA dotycząca częstości]</w:t>
            </w:r>
          </w:p>
        </w:tc>
      </w:tr>
      <w:tr w14:paraId="76F65867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74ABD3DA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001</w:t>
            </w:r>
          </w:p>
        </w:tc>
        <w:tc>
          <w:tcPr>
            <w:tcW w:w="7283" w:type="dxa"/>
          </w:tcPr>
          <w:p w:rsidR="005D2209" w:rsidP="005D2209" w14:paraId="7EEB5192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1/10)&gt;</w:t>
            </w:r>
          </w:p>
        </w:tc>
        <w:tc>
          <w:tcPr>
            <w:tcW w:w="7283" w:type="dxa"/>
          </w:tcPr>
          <w:p w:rsidR="005D2209" w:rsidP="005D2209" w14:paraId="24A55D3B" w14:textId="77777777">
            <w:pPr>
              <w:pStyle w:val="EndnoteText"/>
              <w:rPr>
                <w:bCs/>
                <w:noProof/>
                <w:lang w:val="pt-PT"/>
              </w:rPr>
            </w:pPr>
            <w:r>
              <w:rPr>
                <w:bCs/>
                <w:noProof/>
                <w:lang w:val="pt-PT"/>
              </w:rPr>
              <w:t>&lt;Bardzo często (</w:t>
            </w:r>
            <w:r>
              <w:rPr>
                <w:rFonts w:ascii="Symbol" w:hAnsi="Symbol"/>
                <w:bCs/>
                <w:noProof/>
                <w:lang w:val="it-IT"/>
              </w:rPr>
              <w:sym w:font="Symbol" w:char="F0B3"/>
            </w:r>
            <w:r>
              <w:rPr>
                <w:bCs/>
                <w:noProof/>
                <w:lang w:val="pt-PT"/>
              </w:rPr>
              <w:t>1/10)&gt;</w:t>
            </w:r>
          </w:p>
        </w:tc>
      </w:tr>
      <w:tr w14:paraId="0F10DCD8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63AA5B8E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002</w:t>
            </w:r>
          </w:p>
        </w:tc>
        <w:tc>
          <w:tcPr>
            <w:tcW w:w="7283" w:type="dxa"/>
          </w:tcPr>
          <w:p w:rsidR="005D2209" w:rsidP="005D2209" w14:paraId="19874568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1/100 to &lt;1/10)&gt;</w:t>
            </w:r>
          </w:p>
        </w:tc>
        <w:tc>
          <w:tcPr>
            <w:tcW w:w="7283" w:type="dxa"/>
          </w:tcPr>
          <w:p w:rsidR="005D2209" w:rsidP="005D2209" w14:paraId="757E730E" w14:textId="77777777">
            <w:pPr>
              <w:pStyle w:val="EndnoteText"/>
              <w:rPr>
                <w:bCs/>
                <w:noProof/>
                <w:lang w:val="pt-PT"/>
              </w:rPr>
            </w:pPr>
            <w:r>
              <w:rPr>
                <w:bCs/>
                <w:noProof/>
                <w:lang w:val="pt-PT"/>
              </w:rPr>
              <w:t>&lt;Często (</w:t>
            </w:r>
            <w:r>
              <w:rPr>
                <w:rFonts w:ascii="Symbol" w:hAnsi="Symbol"/>
                <w:bCs/>
                <w:noProof/>
                <w:lang w:val="it-IT"/>
              </w:rPr>
              <w:sym w:font="Symbol" w:char="F0B3"/>
            </w:r>
            <w:r>
              <w:rPr>
                <w:bCs/>
                <w:noProof/>
                <w:lang w:val="pt-PT"/>
              </w:rPr>
              <w:t>1/100 do &lt;1/10)&gt;</w:t>
            </w:r>
          </w:p>
        </w:tc>
      </w:tr>
      <w:tr w14:paraId="27FECE58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14F50E95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003</w:t>
            </w:r>
          </w:p>
        </w:tc>
        <w:tc>
          <w:tcPr>
            <w:tcW w:w="7283" w:type="dxa"/>
          </w:tcPr>
          <w:p w:rsidR="005D2209" w:rsidP="005D2209" w14:paraId="183D21E1" w14:textId="156452AA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&lt;Uncommon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</w:t>
            </w:r>
            <w:r w:rsidR="00CC62B6">
              <w:rPr>
                <w:noProof/>
              </w:rPr>
              <w:t xml:space="preserve"> </w:t>
            </w:r>
            <w:r>
              <w:rPr>
                <w:noProof/>
              </w:rPr>
              <w:t>000 to &lt;1/100)&gt;</w:t>
            </w:r>
          </w:p>
        </w:tc>
        <w:tc>
          <w:tcPr>
            <w:tcW w:w="7283" w:type="dxa"/>
          </w:tcPr>
          <w:p w:rsidR="005D2209" w:rsidP="005D2209" w14:paraId="7C496D9B" w14:textId="77777777">
            <w:pPr>
              <w:pStyle w:val="EndnoteText"/>
              <w:rPr>
                <w:bCs/>
                <w:noProof/>
                <w:lang w:val="pl-PL"/>
              </w:rPr>
            </w:pPr>
            <w:r>
              <w:rPr>
                <w:bCs/>
                <w:noProof/>
                <w:lang w:val="pl-PL"/>
              </w:rPr>
              <w:t>&lt;Niezbyt często (</w:t>
            </w:r>
            <w:r>
              <w:rPr>
                <w:rFonts w:ascii="Symbol" w:hAnsi="Symbol"/>
                <w:bCs/>
                <w:noProof/>
                <w:lang w:val="it-IT"/>
              </w:rPr>
              <w:sym w:font="Symbol" w:char="F0B3"/>
            </w:r>
            <w:r>
              <w:rPr>
                <w:bCs/>
                <w:noProof/>
                <w:lang w:val="pl-PL"/>
              </w:rPr>
              <w:t>1/1 000 do &lt;1/100)&gt;</w:t>
            </w:r>
          </w:p>
        </w:tc>
      </w:tr>
      <w:tr w14:paraId="059D0556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753EC355" w14:textId="77777777">
            <w:pPr>
              <w:rPr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004</w:t>
            </w:r>
          </w:p>
        </w:tc>
        <w:tc>
          <w:tcPr>
            <w:tcW w:w="7283" w:type="dxa"/>
          </w:tcPr>
          <w:p w:rsidR="005D2209" w:rsidP="005D2209" w14:paraId="03D88B05" w14:textId="2EA296F1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&lt;Rare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</w:t>
            </w:r>
            <w:r w:rsidR="00CC62B6">
              <w:rPr>
                <w:noProof/>
              </w:rPr>
              <w:t xml:space="preserve"> </w:t>
            </w:r>
            <w:r>
              <w:rPr>
                <w:noProof/>
              </w:rPr>
              <w:t>000 to &lt;1/1</w:t>
            </w:r>
            <w:r w:rsidR="00CC62B6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7283" w:type="dxa"/>
          </w:tcPr>
          <w:p w:rsidR="005D2209" w:rsidP="005D2209" w14:paraId="2559EB1A" w14:textId="77777777">
            <w:pPr>
              <w:pStyle w:val="EndnoteText"/>
              <w:rPr>
                <w:bCs/>
                <w:noProof/>
                <w:lang w:val="pl-PL"/>
              </w:rPr>
            </w:pPr>
            <w:r>
              <w:rPr>
                <w:bCs/>
                <w:noProof/>
                <w:lang w:val="pl-PL"/>
              </w:rPr>
              <w:t>&lt;Rzadko (</w:t>
            </w:r>
            <w:r>
              <w:rPr>
                <w:rFonts w:ascii="Symbol" w:hAnsi="Symbol"/>
                <w:bCs/>
                <w:noProof/>
                <w:lang w:val="it-IT"/>
              </w:rPr>
              <w:sym w:font="Symbol" w:char="F0B3"/>
            </w:r>
            <w:r>
              <w:rPr>
                <w:bCs/>
                <w:noProof/>
                <w:lang w:val="pl-PL"/>
              </w:rPr>
              <w:t>1/10 000 do &lt;1/1 000)&gt;</w:t>
            </w:r>
          </w:p>
        </w:tc>
      </w:tr>
      <w:tr w14:paraId="1331416C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73E27341" w14:textId="77777777">
            <w:pPr>
              <w:rPr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005</w:t>
            </w:r>
          </w:p>
        </w:tc>
        <w:tc>
          <w:tcPr>
            <w:tcW w:w="7283" w:type="dxa"/>
          </w:tcPr>
          <w:p w:rsidR="005D2209" w:rsidP="005D2209" w14:paraId="516C7B99" w14:textId="2E856C7A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rare (&lt;1/10</w:t>
            </w:r>
            <w:r w:rsidR="00CC62B6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7283" w:type="dxa"/>
          </w:tcPr>
          <w:p w:rsidR="005D2209" w:rsidP="005D2209" w14:paraId="49CE8781" w14:textId="77777777">
            <w:pPr>
              <w:pStyle w:val="EndnoteText"/>
              <w:rPr>
                <w:bCs/>
                <w:noProof/>
                <w:lang w:val="pl-PL"/>
              </w:rPr>
            </w:pPr>
            <w:r>
              <w:rPr>
                <w:b/>
                <w:noProof/>
                <w:lang w:val="pl-PL"/>
              </w:rPr>
              <w:t>&lt;</w:t>
            </w:r>
            <w:r>
              <w:rPr>
                <w:bCs/>
                <w:noProof/>
                <w:lang w:val="pl-PL"/>
              </w:rPr>
              <w:t>Bardzo rzadko (</w:t>
            </w:r>
            <w:r>
              <w:rPr>
                <w:rFonts w:ascii="Symbol" w:hAnsi="Symbol"/>
                <w:szCs w:val="22"/>
              </w:rPr>
              <w:sym w:font="Symbol" w:char="F03C"/>
            </w:r>
            <w:r>
              <w:rPr>
                <w:rFonts w:ascii="Symbol" w:hAnsi="Symbol"/>
                <w:szCs w:val="22"/>
              </w:rPr>
              <w:sym w:font="Symbol" w:char="F020"/>
            </w:r>
            <w:r>
              <w:rPr>
                <w:bCs/>
                <w:noProof/>
                <w:lang w:val="pl-PL"/>
              </w:rPr>
              <w:t>1/10 000)&gt;</w:t>
            </w:r>
          </w:p>
        </w:tc>
      </w:tr>
      <w:tr w14:paraId="34F27DA9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63A792BD" w14:textId="77777777">
            <w:pPr>
              <w:rPr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006</w:t>
            </w:r>
          </w:p>
        </w:tc>
        <w:tc>
          <w:tcPr>
            <w:tcW w:w="7283" w:type="dxa"/>
          </w:tcPr>
          <w:p w:rsidR="005D2209" w:rsidP="005D2209" w14:paraId="2EB559F1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&lt;not known (cannot be estimated from the available data)&gt;</w:t>
            </w:r>
          </w:p>
        </w:tc>
        <w:tc>
          <w:tcPr>
            <w:tcW w:w="7283" w:type="dxa"/>
          </w:tcPr>
          <w:p w:rsidR="005D2209" w:rsidP="005D2209" w14:paraId="7E4840FF" w14:textId="77777777">
            <w:pPr>
              <w:pStyle w:val="EndnoteText"/>
              <w:rPr>
                <w:b/>
                <w:noProof/>
                <w:lang w:val="pl-PL"/>
              </w:rPr>
            </w:pPr>
            <w:r>
              <w:rPr>
                <w:bCs/>
                <w:noProof/>
                <w:lang w:val="pl-PL"/>
              </w:rPr>
              <w:t>&lt;nieznana (częstość nie może być określona na podstawie dostępnych danych)&gt;</w:t>
            </w:r>
          </w:p>
        </w:tc>
      </w:tr>
      <w:tr w14:paraId="383D0449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RPr="00BB15AE" w:rsidP="005D2209" w14:paraId="55CB7C28" w14:textId="77777777">
            <w:pPr>
              <w:rPr>
                <w:noProof/>
                <w:sz w:val="22"/>
                <w:lang w:val="pl-PL"/>
              </w:rPr>
            </w:pPr>
          </w:p>
        </w:tc>
        <w:tc>
          <w:tcPr>
            <w:tcW w:w="7283" w:type="dxa"/>
          </w:tcPr>
          <w:p w:rsidR="005D2209" w:rsidP="005D2209" w14:paraId="7A66FA79" w14:textId="77777777">
            <w:pPr>
              <w:pStyle w:val="Title"/>
              <w:jc w:val="left"/>
              <w:rPr>
                <w:i/>
                <w:noProof/>
              </w:rPr>
            </w:pPr>
            <w:r>
              <w:rPr>
                <w:i/>
                <w:noProof/>
                <w:lang w:val="en-US"/>
              </w:rPr>
              <w:t>[MedDRA- system organ class database]</w:t>
            </w:r>
          </w:p>
        </w:tc>
        <w:tc>
          <w:tcPr>
            <w:tcW w:w="7283" w:type="dxa"/>
          </w:tcPr>
          <w:p w:rsidR="005D2209" w:rsidP="005D2209" w14:paraId="5BA3DC08" w14:textId="77777777">
            <w:pPr>
              <w:rPr>
                <w:b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pl-PL"/>
              </w:rPr>
              <w:t>[Klasyfikacja układów i narządów MedDRA - baza danych]</w:t>
            </w:r>
          </w:p>
        </w:tc>
      </w:tr>
      <w:tr w14:paraId="6E51CA74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17DA3525" w14:textId="77777777">
            <w:pPr>
              <w:rPr>
                <w:noProof/>
                <w:sz w:val="22"/>
                <w:lang w:val="pl-PL"/>
              </w:rPr>
            </w:pPr>
            <w:r>
              <w:rPr>
                <w:noProof/>
                <w:sz w:val="22"/>
                <w:lang w:val="pl-PL"/>
              </w:rPr>
              <w:t>007</w:t>
            </w:r>
          </w:p>
        </w:tc>
        <w:tc>
          <w:tcPr>
            <w:tcW w:w="7283" w:type="dxa"/>
          </w:tcPr>
          <w:p w:rsidR="005D2209" w:rsidP="005D2209" w14:paraId="29359101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Infections and infestations</w:t>
            </w:r>
          </w:p>
        </w:tc>
        <w:tc>
          <w:tcPr>
            <w:tcW w:w="7283" w:type="dxa"/>
          </w:tcPr>
          <w:p w:rsidR="005D2209" w:rsidP="005D2209" w14:paraId="07088E8F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Zakażenia i zarażenia pasożytnicze </w:t>
            </w:r>
          </w:p>
        </w:tc>
      </w:tr>
      <w:tr w14:paraId="018D996A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52D0C16B" w14:textId="77777777">
            <w:pPr>
              <w:rPr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008</w:t>
            </w:r>
          </w:p>
        </w:tc>
        <w:tc>
          <w:tcPr>
            <w:tcW w:w="7283" w:type="dxa"/>
          </w:tcPr>
          <w:p w:rsidR="005D2209" w:rsidRPr="00CC62B6" w:rsidP="005D2209" w14:paraId="2D991AB0" w14:textId="77777777">
            <w:pPr>
              <w:pStyle w:val="Title"/>
              <w:jc w:val="left"/>
              <w:rPr>
                <w:b w:val="0"/>
                <w:noProof/>
              </w:rPr>
            </w:pPr>
            <w:r w:rsidRPr="00CC62B6">
              <w:rPr>
                <w:b w:val="0"/>
                <w:noProof/>
              </w:rPr>
              <w:t>Neoplasms benign, malignant and unspecified (incl cysts and polyps)</w:t>
            </w:r>
          </w:p>
        </w:tc>
        <w:tc>
          <w:tcPr>
            <w:tcW w:w="7283" w:type="dxa"/>
          </w:tcPr>
          <w:p w:rsidR="005D2209" w:rsidP="005D2209" w14:paraId="65A18C3B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Nowotwory łagodne, złośliwe i nieokreślone (w tym torbiele i polipy) </w:t>
            </w:r>
          </w:p>
        </w:tc>
      </w:tr>
      <w:tr w14:paraId="67FD54C5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30433327" w14:textId="77777777">
            <w:pPr>
              <w:rPr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009</w:t>
            </w:r>
          </w:p>
        </w:tc>
        <w:tc>
          <w:tcPr>
            <w:tcW w:w="7283" w:type="dxa"/>
          </w:tcPr>
          <w:p w:rsidR="005D2209" w:rsidRPr="00CC62B6" w:rsidP="005D2209" w14:paraId="1D0E2920" w14:textId="77777777">
            <w:pPr>
              <w:pStyle w:val="Title"/>
              <w:jc w:val="left"/>
              <w:rPr>
                <w:b w:val="0"/>
                <w:noProof/>
              </w:rPr>
            </w:pPr>
            <w:r w:rsidRPr="00CC62B6">
              <w:rPr>
                <w:b w:val="0"/>
                <w:noProof/>
              </w:rPr>
              <w:t xml:space="preserve">Blood and lymphatic system disorders </w:t>
            </w:r>
          </w:p>
        </w:tc>
        <w:tc>
          <w:tcPr>
            <w:tcW w:w="7283" w:type="dxa"/>
          </w:tcPr>
          <w:p w:rsidR="005D2209" w:rsidP="005D2209" w14:paraId="434C7A51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Zaburzenia krwi i układu chłonnego </w:t>
            </w:r>
          </w:p>
        </w:tc>
      </w:tr>
      <w:tr w14:paraId="045D3ED0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7CA9FBE7" w14:textId="77777777">
            <w:pPr>
              <w:rPr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010</w:t>
            </w:r>
          </w:p>
        </w:tc>
        <w:tc>
          <w:tcPr>
            <w:tcW w:w="7283" w:type="dxa"/>
          </w:tcPr>
          <w:p w:rsidR="005D2209" w:rsidP="005D2209" w14:paraId="2031D42A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Immune system disorders </w:t>
            </w:r>
          </w:p>
        </w:tc>
        <w:tc>
          <w:tcPr>
            <w:tcW w:w="7283" w:type="dxa"/>
          </w:tcPr>
          <w:p w:rsidR="005D2209" w:rsidP="005D2209" w14:paraId="32A523DA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Zaburzenia układu immunologicznego </w:t>
            </w:r>
          </w:p>
        </w:tc>
      </w:tr>
      <w:tr w14:paraId="067911B4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083F5229" w14:textId="77777777">
            <w:pPr>
              <w:rPr>
                <w:noProof/>
                <w:sz w:val="22"/>
                <w:lang w:val="it-IT"/>
              </w:rPr>
            </w:pPr>
            <w:r>
              <w:rPr>
                <w:noProof/>
                <w:sz w:val="22"/>
                <w:lang w:val="it-IT"/>
              </w:rPr>
              <w:t>011</w:t>
            </w:r>
          </w:p>
        </w:tc>
        <w:tc>
          <w:tcPr>
            <w:tcW w:w="7283" w:type="dxa"/>
          </w:tcPr>
          <w:p w:rsidR="005D2209" w:rsidP="005D2209" w14:paraId="003FA2E6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Endocrine disorders </w:t>
            </w:r>
          </w:p>
        </w:tc>
        <w:tc>
          <w:tcPr>
            <w:tcW w:w="7283" w:type="dxa"/>
          </w:tcPr>
          <w:p w:rsidR="005D2209" w:rsidP="005D2209" w14:paraId="24590748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Zaburzenia endokrynologiczne </w:t>
            </w:r>
          </w:p>
        </w:tc>
      </w:tr>
      <w:tr w14:paraId="4C253B47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6DA8DF42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012</w:t>
            </w:r>
          </w:p>
        </w:tc>
        <w:tc>
          <w:tcPr>
            <w:tcW w:w="7283" w:type="dxa"/>
          </w:tcPr>
          <w:p w:rsidR="005D2209" w:rsidP="005D2209" w14:paraId="0289E203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Metabolism and nutrition disorders </w:t>
            </w:r>
          </w:p>
        </w:tc>
        <w:tc>
          <w:tcPr>
            <w:tcW w:w="7283" w:type="dxa"/>
          </w:tcPr>
          <w:p w:rsidR="005D2209" w:rsidP="005D2209" w14:paraId="7EB04A74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Zaburzenia metabolizmu i odżywiania </w:t>
            </w:r>
          </w:p>
        </w:tc>
      </w:tr>
      <w:tr w14:paraId="160B3559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4B5FFC5E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013</w:t>
            </w:r>
          </w:p>
        </w:tc>
        <w:tc>
          <w:tcPr>
            <w:tcW w:w="7283" w:type="dxa"/>
          </w:tcPr>
          <w:p w:rsidR="005D2209" w:rsidP="005D2209" w14:paraId="3C61795E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Psychiatric disorders </w:t>
            </w:r>
          </w:p>
        </w:tc>
        <w:tc>
          <w:tcPr>
            <w:tcW w:w="7283" w:type="dxa"/>
          </w:tcPr>
          <w:p w:rsidR="005D2209" w:rsidP="005D2209" w14:paraId="0279CF1D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t-PT"/>
              </w:rPr>
              <w:t xml:space="preserve">Zaburzenia psychiczne </w:t>
            </w:r>
          </w:p>
        </w:tc>
      </w:tr>
      <w:tr w14:paraId="37216B22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470A5872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014</w:t>
            </w:r>
          </w:p>
        </w:tc>
        <w:tc>
          <w:tcPr>
            <w:tcW w:w="7283" w:type="dxa"/>
          </w:tcPr>
          <w:p w:rsidR="005D2209" w:rsidP="005D2209" w14:paraId="72EFF855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Nervous system disorders </w:t>
            </w:r>
          </w:p>
        </w:tc>
        <w:tc>
          <w:tcPr>
            <w:tcW w:w="7283" w:type="dxa"/>
          </w:tcPr>
          <w:p w:rsidR="005D2209" w:rsidP="005D2209" w14:paraId="7B16DCCC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Zaburzenia układu nerwowego </w:t>
            </w:r>
          </w:p>
        </w:tc>
      </w:tr>
      <w:tr w14:paraId="70F38FBF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1817B5EB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015</w:t>
            </w:r>
          </w:p>
        </w:tc>
        <w:tc>
          <w:tcPr>
            <w:tcW w:w="7283" w:type="dxa"/>
          </w:tcPr>
          <w:p w:rsidR="005D2209" w:rsidP="005D2209" w14:paraId="60AAC58C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Eye disorders </w:t>
            </w:r>
          </w:p>
        </w:tc>
        <w:tc>
          <w:tcPr>
            <w:tcW w:w="7283" w:type="dxa"/>
          </w:tcPr>
          <w:p w:rsidR="005D2209" w:rsidP="005D2209" w14:paraId="12696926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Zaburzenia oka </w:t>
            </w:r>
          </w:p>
        </w:tc>
      </w:tr>
      <w:tr w14:paraId="52EEFF4E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4ADE9463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016</w:t>
            </w:r>
          </w:p>
        </w:tc>
        <w:tc>
          <w:tcPr>
            <w:tcW w:w="7283" w:type="dxa"/>
          </w:tcPr>
          <w:p w:rsidR="005D2209" w:rsidP="005D2209" w14:paraId="57EF797F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Ear and labyrinth disorders </w:t>
            </w:r>
          </w:p>
        </w:tc>
        <w:tc>
          <w:tcPr>
            <w:tcW w:w="7283" w:type="dxa"/>
          </w:tcPr>
          <w:p w:rsidR="005D2209" w:rsidP="005D2209" w14:paraId="1914EDAF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Zaburzenia ucha i błędnika </w:t>
            </w:r>
          </w:p>
        </w:tc>
      </w:tr>
      <w:tr w14:paraId="2C7BC341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35C53E09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017</w:t>
            </w:r>
          </w:p>
        </w:tc>
        <w:tc>
          <w:tcPr>
            <w:tcW w:w="7283" w:type="dxa"/>
          </w:tcPr>
          <w:p w:rsidR="005D2209" w:rsidP="005D2209" w14:paraId="6AE9ABEB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Cardiac disorders </w:t>
            </w:r>
          </w:p>
        </w:tc>
        <w:tc>
          <w:tcPr>
            <w:tcW w:w="7283" w:type="dxa"/>
          </w:tcPr>
          <w:p w:rsidR="005D2209" w:rsidP="005D2209" w14:paraId="21754F9B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Zaburzenia serca </w:t>
            </w:r>
          </w:p>
        </w:tc>
      </w:tr>
      <w:tr w14:paraId="6D966F88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22FE5534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018</w:t>
            </w:r>
          </w:p>
        </w:tc>
        <w:tc>
          <w:tcPr>
            <w:tcW w:w="7283" w:type="dxa"/>
          </w:tcPr>
          <w:p w:rsidR="005D2209" w:rsidP="005D2209" w14:paraId="12177566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Vascular disorders </w:t>
            </w:r>
          </w:p>
        </w:tc>
        <w:tc>
          <w:tcPr>
            <w:tcW w:w="7283" w:type="dxa"/>
          </w:tcPr>
          <w:p w:rsidR="005D2209" w:rsidP="005D2209" w14:paraId="28FF84CD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Zaburzenia naczyniowe </w:t>
            </w:r>
          </w:p>
        </w:tc>
      </w:tr>
      <w:tr w14:paraId="17CF399F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3F41A40D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019</w:t>
            </w:r>
          </w:p>
        </w:tc>
        <w:tc>
          <w:tcPr>
            <w:tcW w:w="7283" w:type="dxa"/>
          </w:tcPr>
          <w:p w:rsidR="005D2209" w:rsidRPr="00CC62B6" w:rsidP="005D2209" w14:paraId="543F5313" w14:textId="77777777">
            <w:pPr>
              <w:pStyle w:val="Title"/>
              <w:jc w:val="left"/>
              <w:rPr>
                <w:b w:val="0"/>
                <w:noProof/>
              </w:rPr>
            </w:pPr>
            <w:r w:rsidRPr="00CC62B6">
              <w:rPr>
                <w:b w:val="0"/>
                <w:noProof/>
              </w:rPr>
              <w:t xml:space="preserve">Respiratory, thoracic and mediastinal disorders </w:t>
            </w:r>
          </w:p>
        </w:tc>
        <w:tc>
          <w:tcPr>
            <w:tcW w:w="7283" w:type="dxa"/>
          </w:tcPr>
          <w:p w:rsidR="005D2209" w:rsidP="005D2209" w14:paraId="1C62DD44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Zaburzenia układu oddechowego, klatki piersiowej i śródpiersia </w:t>
            </w:r>
          </w:p>
        </w:tc>
      </w:tr>
      <w:tr w14:paraId="44B15A81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03E239EB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020</w:t>
            </w:r>
          </w:p>
        </w:tc>
        <w:tc>
          <w:tcPr>
            <w:tcW w:w="7283" w:type="dxa"/>
          </w:tcPr>
          <w:p w:rsidR="005D2209" w:rsidP="005D2209" w14:paraId="18D4A5D8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Gastrointestinal disorders </w:t>
            </w:r>
          </w:p>
        </w:tc>
        <w:tc>
          <w:tcPr>
            <w:tcW w:w="7283" w:type="dxa"/>
          </w:tcPr>
          <w:p w:rsidR="005D2209" w:rsidP="005D2209" w14:paraId="30EB0F29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Zaburzenia żołądka i jelit </w:t>
            </w:r>
          </w:p>
        </w:tc>
      </w:tr>
      <w:tr w14:paraId="48B000CB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62E9F30F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021</w:t>
            </w:r>
          </w:p>
        </w:tc>
        <w:tc>
          <w:tcPr>
            <w:tcW w:w="7283" w:type="dxa"/>
          </w:tcPr>
          <w:p w:rsidR="005D2209" w:rsidP="005D2209" w14:paraId="441E6B61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Hepatobiliary disorders </w:t>
            </w:r>
          </w:p>
        </w:tc>
        <w:tc>
          <w:tcPr>
            <w:tcW w:w="7283" w:type="dxa"/>
          </w:tcPr>
          <w:p w:rsidR="005D2209" w:rsidP="005D2209" w14:paraId="5E0A356A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Zaburzenia wątroby i dróg żółciowych </w:t>
            </w:r>
          </w:p>
        </w:tc>
      </w:tr>
      <w:tr w14:paraId="2777A655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231B4B0F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022</w:t>
            </w:r>
          </w:p>
        </w:tc>
        <w:tc>
          <w:tcPr>
            <w:tcW w:w="7283" w:type="dxa"/>
          </w:tcPr>
          <w:p w:rsidR="005D2209" w:rsidRPr="00CC62B6" w:rsidP="005D2209" w14:paraId="691B33B9" w14:textId="77777777">
            <w:pPr>
              <w:pStyle w:val="Title"/>
              <w:jc w:val="left"/>
              <w:rPr>
                <w:b w:val="0"/>
                <w:noProof/>
              </w:rPr>
            </w:pPr>
            <w:r w:rsidRPr="00CC62B6">
              <w:rPr>
                <w:b w:val="0"/>
                <w:noProof/>
              </w:rPr>
              <w:t xml:space="preserve">Skin and subcutaneous tissue disorders </w:t>
            </w:r>
          </w:p>
        </w:tc>
        <w:tc>
          <w:tcPr>
            <w:tcW w:w="7283" w:type="dxa"/>
          </w:tcPr>
          <w:p w:rsidR="005D2209" w:rsidP="005D2209" w14:paraId="539C1FAA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Zaburzenia skóry i tkanki podskórnej </w:t>
            </w:r>
          </w:p>
        </w:tc>
      </w:tr>
      <w:tr w14:paraId="5E1E7C3F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3434E219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023</w:t>
            </w:r>
          </w:p>
        </w:tc>
        <w:tc>
          <w:tcPr>
            <w:tcW w:w="7283" w:type="dxa"/>
          </w:tcPr>
          <w:p w:rsidR="005D2209" w:rsidRPr="00CC62B6" w:rsidP="005D2209" w14:paraId="6BD29D0A" w14:textId="77777777">
            <w:pPr>
              <w:pStyle w:val="Title"/>
              <w:jc w:val="left"/>
              <w:rPr>
                <w:b w:val="0"/>
                <w:noProof/>
              </w:rPr>
            </w:pPr>
            <w:r w:rsidRPr="00CC62B6">
              <w:rPr>
                <w:b w:val="0"/>
                <w:noProof/>
              </w:rPr>
              <w:t xml:space="preserve">Musculoskeletal and connective tissue disorders </w:t>
            </w:r>
          </w:p>
        </w:tc>
        <w:tc>
          <w:tcPr>
            <w:tcW w:w="7283" w:type="dxa"/>
          </w:tcPr>
          <w:p w:rsidR="005D2209" w:rsidP="005D2209" w14:paraId="09DF7F2C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Zaburzenia mięśniowo-szkieletowe i tkanki łącznej </w:t>
            </w:r>
          </w:p>
        </w:tc>
      </w:tr>
      <w:tr w14:paraId="12F8C2EF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52915EBE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024</w:t>
            </w:r>
          </w:p>
        </w:tc>
        <w:tc>
          <w:tcPr>
            <w:tcW w:w="7283" w:type="dxa"/>
          </w:tcPr>
          <w:p w:rsidR="005D2209" w:rsidP="005D2209" w14:paraId="2DEC8168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Renal and urinary disorders </w:t>
            </w:r>
          </w:p>
        </w:tc>
        <w:tc>
          <w:tcPr>
            <w:tcW w:w="7283" w:type="dxa"/>
          </w:tcPr>
          <w:p w:rsidR="005D2209" w:rsidP="005D2209" w14:paraId="652D3936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Zaburzenia nerek i dróg moczowych </w:t>
            </w:r>
          </w:p>
        </w:tc>
      </w:tr>
      <w:tr w14:paraId="002FD763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6C5AF708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025</w:t>
            </w:r>
          </w:p>
        </w:tc>
        <w:tc>
          <w:tcPr>
            <w:tcW w:w="7283" w:type="dxa"/>
          </w:tcPr>
          <w:p w:rsidR="005D2209" w:rsidRPr="003A4F56" w:rsidP="005D2209" w14:paraId="78C3CE30" w14:textId="77777777">
            <w:pPr>
              <w:pStyle w:val="Title"/>
              <w:jc w:val="left"/>
              <w:rPr>
                <w:b w:val="0"/>
                <w:noProof/>
              </w:rPr>
            </w:pPr>
            <w:r w:rsidRPr="003A4F56">
              <w:rPr>
                <w:b w:val="0"/>
                <w:noProof/>
              </w:rPr>
              <w:t xml:space="preserve">Pregnancy, puerperium and perinatal conditions </w:t>
            </w:r>
          </w:p>
        </w:tc>
        <w:tc>
          <w:tcPr>
            <w:tcW w:w="7283" w:type="dxa"/>
          </w:tcPr>
          <w:p w:rsidR="005D2209" w:rsidP="005D2209" w14:paraId="0AC9F104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Ciąża, połóg i okres okołoporodowy </w:t>
            </w:r>
          </w:p>
        </w:tc>
      </w:tr>
      <w:tr w14:paraId="2D9F48A1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46669588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026</w:t>
            </w:r>
          </w:p>
        </w:tc>
        <w:tc>
          <w:tcPr>
            <w:tcW w:w="7283" w:type="dxa"/>
          </w:tcPr>
          <w:p w:rsidR="005D2209" w:rsidRPr="003A4F56" w:rsidP="005D2209" w14:paraId="68834E75" w14:textId="77777777">
            <w:pPr>
              <w:pStyle w:val="Title"/>
              <w:jc w:val="left"/>
              <w:rPr>
                <w:b w:val="0"/>
                <w:noProof/>
              </w:rPr>
            </w:pPr>
            <w:r w:rsidRPr="003A4F56">
              <w:rPr>
                <w:b w:val="0"/>
                <w:noProof/>
              </w:rPr>
              <w:t xml:space="preserve">Reproductive system and breast disorders </w:t>
            </w:r>
          </w:p>
        </w:tc>
        <w:tc>
          <w:tcPr>
            <w:tcW w:w="7283" w:type="dxa"/>
          </w:tcPr>
          <w:p w:rsidR="005D2209" w:rsidP="005D2209" w14:paraId="1065D4BE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Zaburzenia układu rozrodczego i piersi </w:t>
            </w:r>
          </w:p>
        </w:tc>
      </w:tr>
      <w:tr w14:paraId="121D4C04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52B20687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027</w:t>
            </w:r>
          </w:p>
        </w:tc>
        <w:tc>
          <w:tcPr>
            <w:tcW w:w="7283" w:type="dxa"/>
          </w:tcPr>
          <w:p w:rsidR="005D2209" w:rsidRPr="003A4F56" w:rsidP="005D2209" w14:paraId="12B1522C" w14:textId="77777777">
            <w:pPr>
              <w:pStyle w:val="Title"/>
              <w:jc w:val="left"/>
              <w:rPr>
                <w:b w:val="0"/>
                <w:noProof/>
              </w:rPr>
            </w:pPr>
            <w:r w:rsidRPr="003A4F56">
              <w:rPr>
                <w:b w:val="0"/>
                <w:noProof/>
              </w:rPr>
              <w:t xml:space="preserve">Congenital, familial and genetic disorders </w:t>
            </w:r>
          </w:p>
        </w:tc>
        <w:tc>
          <w:tcPr>
            <w:tcW w:w="7283" w:type="dxa"/>
          </w:tcPr>
          <w:p w:rsidR="005D2209" w:rsidP="005D2209" w14:paraId="37AA0F64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Wady wrodzone, choroby rodzinne i genetyczne </w:t>
            </w:r>
          </w:p>
        </w:tc>
      </w:tr>
      <w:tr w14:paraId="716D4FF9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08FA0362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028</w:t>
            </w:r>
          </w:p>
        </w:tc>
        <w:tc>
          <w:tcPr>
            <w:tcW w:w="7283" w:type="dxa"/>
          </w:tcPr>
          <w:p w:rsidR="005D2209" w:rsidRPr="003A4F56" w:rsidP="005D2209" w14:paraId="7A60767A" w14:textId="77777777">
            <w:pPr>
              <w:pStyle w:val="Title"/>
              <w:jc w:val="left"/>
              <w:rPr>
                <w:b w:val="0"/>
                <w:noProof/>
              </w:rPr>
            </w:pPr>
            <w:r w:rsidRPr="003A4F56">
              <w:rPr>
                <w:b w:val="0"/>
                <w:noProof/>
              </w:rPr>
              <w:t xml:space="preserve">General disorders and administration site conditions </w:t>
            </w:r>
          </w:p>
        </w:tc>
        <w:tc>
          <w:tcPr>
            <w:tcW w:w="7283" w:type="dxa"/>
          </w:tcPr>
          <w:p w:rsidR="005D2209" w:rsidP="005D2209" w14:paraId="61AE2925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Zaburzenia ogólne i stany w miejscu podania </w:t>
            </w:r>
          </w:p>
        </w:tc>
      </w:tr>
      <w:tr w14:paraId="34BDAF4E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09A1F401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029</w:t>
            </w:r>
          </w:p>
        </w:tc>
        <w:tc>
          <w:tcPr>
            <w:tcW w:w="7283" w:type="dxa"/>
          </w:tcPr>
          <w:p w:rsidR="005D2209" w:rsidP="005D2209" w14:paraId="251A773F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Investigations </w:t>
            </w:r>
          </w:p>
        </w:tc>
        <w:tc>
          <w:tcPr>
            <w:tcW w:w="7283" w:type="dxa"/>
          </w:tcPr>
          <w:p w:rsidR="005D2209" w:rsidP="005D2209" w14:paraId="035D7E29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Badania diagnostyczne </w:t>
            </w:r>
          </w:p>
        </w:tc>
      </w:tr>
      <w:tr w14:paraId="373BD485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6BFB16F4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030</w:t>
            </w:r>
          </w:p>
        </w:tc>
        <w:tc>
          <w:tcPr>
            <w:tcW w:w="7283" w:type="dxa"/>
          </w:tcPr>
          <w:p w:rsidR="005D2209" w:rsidRPr="003A4F56" w:rsidP="005D2209" w14:paraId="1AAC83C2" w14:textId="77777777">
            <w:pPr>
              <w:pStyle w:val="Title"/>
              <w:jc w:val="left"/>
              <w:rPr>
                <w:b w:val="0"/>
                <w:noProof/>
              </w:rPr>
            </w:pPr>
            <w:r w:rsidRPr="003A4F56">
              <w:rPr>
                <w:b w:val="0"/>
                <w:noProof/>
              </w:rPr>
              <w:t xml:space="preserve">Injury, poisoning and procedural complications </w:t>
            </w:r>
          </w:p>
        </w:tc>
        <w:tc>
          <w:tcPr>
            <w:tcW w:w="7283" w:type="dxa"/>
          </w:tcPr>
          <w:p w:rsidR="005D2209" w:rsidP="005D2209" w14:paraId="6747595B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Urazy, zatrucia i powikłania po zabiegach </w:t>
            </w:r>
          </w:p>
        </w:tc>
      </w:tr>
      <w:tr w14:paraId="715BA762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0D54D1B4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031</w:t>
            </w:r>
          </w:p>
        </w:tc>
        <w:tc>
          <w:tcPr>
            <w:tcW w:w="7283" w:type="dxa"/>
          </w:tcPr>
          <w:p w:rsidR="005D2209" w:rsidP="005D2209" w14:paraId="09FDA2A3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Surgical and medical procedures </w:t>
            </w:r>
          </w:p>
        </w:tc>
        <w:tc>
          <w:tcPr>
            <w:tcW w:w="7283" w:type="dxa"/>
          </w:tcPr>
          <w:p w:rsidR="005D2209" w:rsidP="005D2209" w14:paraId="6254FC30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 xml:space="preserve">Procedury medyczne i chirurgiczne </w:t>
            </w:r>
          </w:p>
        </w:tc>
      </w:tr>
      <w:tr w14:paraId="39B3AAE3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5D2209" w:rsidP="005D2209" w14:paraId="643154A8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032</w:t>
            </w:r>
          </w:p>
        </w:tc>
        <w:tc>
          <w:tcPr>
            <w:tcW w:w="7283" w:type="dxa"/>
          </w:tcPr>
          <w:p w:rsidR="005D2209" w:rsidP="005D2209" w14:paraId="5389AD30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Social circumstances</w:t>
            </w:r>
          </w:p>
        </w:tc>
        <w:tc>
          <w:tcPr>
            <w:tcW w:w="7283" w:type="dxa"/>
          </w:tcPr>
          <w:p w:rsidR="005D2209" w:rsidP="005D2209" w14:paraId="63C5E373" w14:textId="77777777">
            <w:pPr>
              <w:pStyle w:val="Title"/>
              <w:jc w:val="left"/>
              <w:rPr>
                <w:b w:val="0"/>
                <w:noProof/>
                <w:lang w:val="pt-PT"/>
              </w:rPr>
            </w:pPr>
            <w:r>
              <w:rPr>
                <w:b w:val="0"/>
                <w:noProof/>
                <w:lang w:val="pl-PL"/>
              </w:rPr>
              <w:t>Uwarunkowania społeczne</w:t>
            </w:r>
            <w:r>
              <w:rPr>
                <w:b w:val="0"/>
                <w:noProof/>
                <w:lang w:val="pt-PT"/>
              </w:rPr>
              <w:t xml:space="preserve"> </w:t>
            </w:r>
          </w:p>
        </w:tc>
      </w:tr>
      <w:tr w14:paraId="22118EC4" w14:textId="77777777">
        <w:tblPrEx>
          <w:tblW w:w="15222" w:type="dxa"/>
          <w:tblInd w:w="-176" w:type="dxa"/>
          <w:tblLayout w:type="fixed"/>
          <w:tblLook w:val="0000"/>
        </w:tblPrEx>
        <w:tc>
          <w:tcPr>
            <w:tcW w:w="656" w:type="dxa"/>
          </w:tcPr>
          <w:p w:rsidR="00A0091D" w:rsidP="005D2209" w14:paraId="3CAFA6D3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033</w:t>
            </w:r>
          </w:p>
        </w:tc>
        <w:tc>
          <w:tcPr>
            <w:tcW w:w="7283" w:type="dxa"/>
          </w:tcPr>
          <w:p w:rsidR="00A0091D" w:rsidP="005D2209" w14:paraId="399FB6C2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Product issues</w:t>
            </w:r>
          </w:p>
        </w:tc>
        <w:tc>
          <w:tcPr>
            <w:tcW w:w="7283" w:type="dxa"/>
          </w:tcPr>
          <w:p w:rsidR="00A0091D" w:rsidP="005D2209" w14:paraId="3F32FC9B" w14:textId="77777777">
            <w:pPr>
              <w:pStyle w:val="Title"/>
              <w:jc w:val="left"/>
              <w:rPr>
                <w:b w:val="0"/>
                <w:noProof/>
                <w:lang w:val="pl-PL"/>
              </w:rPr>
            </w:pPr>
            <w:r>
              <w:rPr>
                <w:b w:val="0"/>
                <w:noProof/>
                <w:lang w:val="pl-PL"/>
              </w:rPr>
              <w:t>Zgłoszenia dotyczące produktu</w:t>
            </w:r>
          </w:p>
        </w:tc>
      </w:tr>
    </w:tbl>
    <w:p w:rsidR="00CE4C0C" w14:paraId="169EC17C" w14:textId="77777777"/>
    <w:sectPr w:rsidSect="006A702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680" w:right="255" w:bottom="1021" w:left="1021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5AE" w14:paraId="758F268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5AE" w14:paraId="4339AD1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5AE" w14:paraId="2C8E923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5AE" w14:paraId="4AE9632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5AE" w14:paraId="2C66F64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5AE" w14:paraId="622359A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55"/>
    <w:rsid w:val="00003965"/>
    <w:rsid w:val="00051578"/>
    <w:rsid w:val="00063B0A"/>
    <w:rsid w:val="000A2F4E"/>
    <w:rsid w:val="00105A17"/>
    <w:rsid w:val="001F5650"/>
    <w:rsid w:val="00326519"/>
    <w:rsid w:val="00354C55"/>
    <w:rsid w:val="00363CE8"/>
    <w:rsid w:val="003A4F56"/>
    <w:rsid w:val="00450BBC"/>
    <w:rsid w:val="0048522A"/>
    <w:rsid w:val="00532DCC"/>
    <w:rsid w:val="00544D71"/>
    <w:rsid w:val="005A3C45"/>
    <w:rsid w:val="005C4A29"/>
    <w:rsid w:val="005D2209"/>
    <w:rsid w:val="00634C55"/>
    <w:rsid w:val="00672B60"/>
    <w:rsid w:val="006947E7"/>
    <w:rsid w:val="006A7027"/>
    <w:rsid w:val="006B6CD8"/>
    <w:rsid w:val="006D7F3C"/>
    <w:rsid w:val="0071679C"/>
    <w:rsid w:val="00743731"/>
    <w:rsid w:val="007A2C99"/>
    <w:rsid w:val="007E6702"/>
    <w:rsid w:val="00803EF5"/>
    <w:rsid w:val="008248DD"/>
    <w:rsid w:val="008275C4"/>
    <w:rsid w:val="00836867"/>
    <w:rsid w:val="0090582C"/>
    <w:rsid w:val="00932BAA"/>
    <w:rsid w:val="00956E51"/>
    <w:rsid w:val="009D64B2"/>
    <w:rsid w:val="00A0091D"/>
    <w:rsid w:val="00A81764"/>
    <w:rsid w:val="00AD2D00"/>
    <w:rsid w:val="00B16492"/>
    <w:rsid w:val="00BB15AE"/>
    <w:rsid w:val="00BD4FED"/>
    <w:rsid w:val="00C35617"/>
    <w:rsid w:val="00C606FB"/>
    <w:rsid w:val="00C643A8"/>
    <w:rsid w:val="00CB686E"/>
    <w:rsid w:val="00CC62B6"/>
    <w:rsid w:val="00CE4C0C"/>
    <w:rsid w:val="00D32C6E"/>
    <w:rsid w:val="00DF3920"/>
    <w:rsid w:val="00EA665E"/>
    <w:rsid w:val="00F22C54"/>
    <w:rsid w:val="00F25205"/>
    <w:rsid w:val="00F373E2"/>
    <w:rsid w:val="00F41894"/>
    <w:rsid w:val="00F64162"/>
    <w:rsid w:val="00F93C30"/>
    <w:rsid w:val="00FB747C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F3D2896-EA98-46BF-A304-C19D5670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209"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rsid w:val="005D2209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Title">
    <w:name w:val="Title"/>
    <w:basedOn w:val="Normal"/>
    <w:qFormat/>
    <w:rsid w:val="005D2209"/>
    <w:pPr>
      <w:jc w:val="center"/>
    </w:pPr>
    <w:rPr>
      <w:b/>
      <w:sz w:val="22"/>
    </w:rPr>
  </w:style>
  <w:style w:type="paragraph" w:styleId="EndnoteText">
    <w:name w:val="endnote text"/>
    <w:basedOn w:val="Normal"/>
    <w:semiHidden/>
    <w:rsid w:val="005D2209"/>
    <w:pPr>
      <w:tabs>
        <w:tab w:val="left" w:pos="567"/>
      </w:tabs>
    </w:pPr>
    <w:rPr>
      <w:sz w:val="22"/>
    </w:rPr>
  </w:style>
  <w:style w:type="paragraph" w:styleId="BalloonText">
    <w:name w:val="Balloon Text"/>
    <w:basedOn w:val="Normal"/>
    <w:semiHidden/>
    <w:rsid w:val="00BB1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HappendixIIpl</vt:lpstr>
      <vt:lpstr>HappendrixIIpl</vt:lpstr>
    </vt:vector>
  </TitlesOfParts>
  <Company>EMEA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HappendixII_pl</dc:title>
  <dc:creator>Administrator</dc:creator>
  <cp:lastModifiedBy>Akhtar Tia</cp:lastModifiedBy>
  <cp:revision>7</cp:revision>
  <dcterms:created xsi:type="dcterms:W3CDTF">2018-02-01T12:51:00Z</dcterms:created>
  <dcterms:modified xsi:type="dcterms:W3CDTF">2022-06-07T10:09:00Z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07/06/2022 12:10:24</vt:lpwstr>
  </property>
  <property fmtid="{D5CDD505-2E9C-101B-9397-08002B2CF9AE}" pid="5" name="DM_Creator_Name">
    <vt:lpwstr>Akhtar Timea</vt:lpwstr>
  </property>
  <property fmtid="{D5CDD505-2E9C-101B-9397-08002B2CF9AE}" pid="6" name="DM_DocRefId">
    <vt:lpwstr>EMA/298151/2018</vt:lpwstr>
  </property>
  <property fmtid="{D5CDD505-2E9C-101B-9397-08002B2CF9AE}" pid="7" name="DM_emea_doc_ref_id">
    <vt:lpwstr>EMA/298151/2018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09/06/2022 09:57:44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09/06/2022 09:57:44</vt:lpwstr>
  </property>
  <property fmtid="{D5CDD505-2E9C-101B-9397-08002B2CF9AE}" pid="14" name="DM_Name">
    <vt:lpwstr>HappendixII_pl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II MedDRA/Revision 2017/Responses from MSs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3.1,CURRENT</vt:lpwstr>
  </property>
  <property fmtid="{D5CDD505-2E9C-101B-9397-08002B2CF9AE}" pid="21" name="MSIP_Label_0eea11ca-d417-4147-80ed-01a58412c458_ActionId">
    <vt:lpwstr>200be5ea-7ec4-428b-a8c1-f74036d3cfc0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2022-06-07T10:09:50Z</vt:lpwstr>
  </property>
  <property fmtid="{D5CDD505-2E9C-101B-9397-08002B2CF9AE}" pid="27" name="MSIP_Label_0eea11ca-d417-4147-80ed-01a58412c458_SiteId">
    <vt:lpwstr>bc9dc15c-61bc-4f03-b60b-e5b6d8922839</vt:lpwstr>
  </property>
</Properties>
</file>