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15B44" w:rsidRPr="005015F2" w:rsidP="00F13072" w14:paraId="3F61848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5015F2" w:rsidP="00F13072" w14:paraId="1B26E97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5015F2" w:rsidP="00F13072" w14:paraId="3ED6742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5015F2" w:rsidP="00F13072" w14:paraId="44340AA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5015F2" w:rsidP="00F13072" w14:paraId="1B88E7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015F2" w:rsidP="00F13072" w14:paraId="6E2DD21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015F2" w:rsidP="00F13072" w14:paraId="6EE16C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015F2" w:rsidP="00F13072" w14:paraId="59191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015F2" w:rsidP="00F13072" w14:paraId="3252F06F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015F2" w:rsidP="00F13072" w14:paraId="32DE946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015F2" w:rsidP="00F13072" w14:paraId="1FF061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015F2" w:rsidP="00F13072" w14:paraId="63E99C8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5015F2" w:rsidP="00F13072" w14:paraId="142618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015F2" w:rsidP="00F13072" w14:paraId="1479130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015F2" w:rsidP="00F13072" w14:paraId="03DB56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015F2" w:rsidP="00F13072" w14:paraId="1094076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015F2" w:rsidP="00F13072" w14:paraId="19EC223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015F2" w:rsidP="00F13072" w14:paraId="12E9EC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015F2" w:rsidP="00F13072" w14:paraId="3333227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015F2" w:rsidP="00F13072" w14:paraId="4BBE8F1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015F2" w:rsidP="00F13072" w14:paraId="688541D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015F2" w:rsidP="00F13072" w14:paraId="5B3BF4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5015F2" w:rsidP="00F13072" w14:paraId="261BF3B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9E375D" w14:paraId="1961038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015F2">
        <w:rPr>
          <w:rFonts w:ascii="Times New Roman" w:hAnsi="Times New Roman"/>
          <w:sz w:val="22"/>
        </w:rPr>
        <w:t>Anexo I</w:t>
      </w:r>
    </w:p>
    <w:p w:rsidR="009E375D" w:rsidRPr="005015F2" w:rsidP="009E375D" w14:paraId="39D1224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15B44" w:rsidRPr="005015F2" w:rsidP="009E375D" w14:paraId="271D5F5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015F2">
        <w:rPr>
          <w:rFonts w:ascii="Times New Roman" w:hAnsi="Times New Roman"/>
          <w:sz w:val="22"/>
        </w:rPr>
        <w:t>Conclusões científicas e fundamentos da alteração dos termos da(s) autorização(ões) de introdução no mercado</w:t>
      </w:r>
    </w:p>
    <w:p w:rsidR="00C15B44" w:rsidRPr="005015F2" w:rsidP="00C15B44" w14:paraId="2CDEE951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5015F2" w:rsidP="00EB1210" w14:paraId="7EA98D0E" w14:textId="77777777">
      <w:pPr>
        <w:pStyle w:val="BodytextAgency"/>
        <w:spacing w:after="0" w:line="240" w:lineRule="auto"/>
        <w:rPr>
          <w:rFonts w:ascii="Times New Roman" w:hAnsi="Times New Roman"/>
          <w:b/>
          <w:bCs/>
          <w:kern w:val="32"/>
          <w:sz w:val="22"/>
          <w:szCs w:val="22"/>
        </w:rPr>
      </w:pPr>
      <w:r w:rsidRPr="005015F2">
        <w:br w:type="page"/>
      </w:r>
      <w:r w:rsidRPr="005015F2">
        <w:rPr>
          <w:rFonts w:ascii="Times New Roman" w:hAnsi="Times New Roman"/>
          <w:b/>
          <w:sz w:val="22"/>
        </w:rPr>
        <w:t>Conclusões científicas</w:t>
      </w:r>
    </w:p>
    <w:p w:rsidR="00767C46" w:rsidRPr="005015F2" w:rsidP="00EB1210" w14:paraId="02B61949" w14:textId="77777777">
      <w:pPr>
        <w:rPr>
          <w:rFonts w:ascii="Times New Roman" w:eastAsia="Verdana" w:hAnsi="Times New Roman"/>
          <w:bCs/>
          <w:kern w:val="32"/>
          <w:sz w:val="22"/>
          <w:szCs w:val="22"/>
        </w:rPr>
      </w:pPr>
      <w:r w:rsidRPr="005015F2">
        <w:rPr>
          <w:rFonts w:ascii="Times New Roman" w:hAnsi="Times New Roman"/>
          <w:sz w:val="22"/>
        </w:rPr>
        <w:t>Tendo em conta o relatório de avaliação do PRAC sobre os relatórios periódicos de segurança (RPS) para {substância(s) ativa(s) incluída(s) na lista EURD}, as conclusões científicas são as seguintes:</w:t>
      </w:r>
    </w:p>
    <w:p w:rsidR="002E245C" w:rsidRPr="005015F2" w:rsidP="00EB1210" w14:paraId="1EF4BD6B" w14:textId="57CBA2FF">
      <w:pPr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</w:pPr>
    </w:p>
    <w:p w:rsidR="00F735C1" w:rsidRPr="005015F2" w:rsidP="00EB1210" w14:paraId="2A4A789B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015F2">
        <w:rPr>
          <w:rFonts w:ascii="Times New Roman" w:hAnsi="Times New Roman"/>
          <w:sz w:val="22"/>
        </w:rPr>
        <w:t>{texto}</w:t>
      </w:r>
    </w:p>
    <w:p w:rsidR="00F735C1" w:rsidRPr="005015F2" w:rsidP="00EB1210" w14:paraId="0601A39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015F2" w:rsidP="00EB1210" w14:paraId="6EFE1A7C" w14:textId="73F755F3">
      <w:pPr>
        <w:rPr>
          <w:rFonts w:ascii="Times New Roman" w:hAnsi="Times New Roman"/>
          <w:iCs/>
          <w:color w:val="339966"/>
          <w:sz w:val="22"/>
          <w:szCs w:val="22"/>
        </w:rPr>
      </w:pPr>
      <w:r w:rsidRPr="005015F2">
        <w:rPr>
          <w:rFonts w:ascii="Times New Roman" w:hAnsi="Times New Roman"/>
          <w:color w:val="339966"/>
          <w:sz w:val="22"/>
          <w:lang w:eastAsia="x-none"/>
        </w:rPr>
        <w:t>[OPTION 1: CMDh agrees]</w:t>
      </w:r>
    </w:p>
    <w:p w:rsidR="0048373D" w:rsidRPr="005015F2" w:rsidP="00EB1210" w14:paraId="254AF4BE" w14:textId="1DDB4AEF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5015F2">
        <w:rPr>
          <w:rFonts w:ascii="Times New Roman" w:hAnsi="Times New Roman"/>
          <w:sz w:val="22"/>
        </w:rPr>
        <w:t xml:space="preserve">Tendo </w:t>
      </w:r>
      <w:r w:rsidR="009B3370">
        <w:rPr>
          <w:rFonts w:ascii="Times New Roman" w:hAnsi="Times New Roman"/>
          <w:sz w:val="22"/>
        </w:rPr>
        <w:t>analisado</w:t>
      </w:r>
      <w:r w:rsidRPr="005015F2">
        <w:rPr>
          <w:rFonts w:ascii="Times New Roman" w:hAnsi="Times New Roman"/>
          <w:sz w:val="22"/>
        </w:rPr>
        <w:t xml:space="preserve"> a recomendação do PRAC, o CMDh concorda com as conclusões gerais do PRAC e os fundamentos da sua recomendação.</w:t>
      </w:r>
    </w:p>
    <w:p w:rsidR="00EB1210" w:rsidRPr="005015F2" w:rsidP="00EB1210" w14:paraId="5DFD6B9E" w14:textId="77777777">
      <w:pPr>
        <w:rPr>
          <w:rFonts w:ascii="Times New Roman" w:hAnsi="Times New Roman"/>
          <w:bCs/>
          <w:kern w:val="32"/>
          <w:sz w:val="22"/>
          <w:szCs w:val="22"/>
          <w:lang w:eastAsia="x-none"/>
        </w:rPr>
      </w:pPr>
    </w:p>
    <w:p w:rsidR="0048373D" w:rsidRPr="005015F2" w:rsidP="00EB1210" w14:paraId="479BF3DD" w14:textId="77777777">
      <w:pPr>
        <w:pStyle w:val="BodytextAgency"/>
        <w:spacing w:after="0" w:line="240" w:lineRule="auto"/>
        <w:rPr>
          <w:rFonts w:ascii="Times New Roman" w:hAnsi="Times New Roman"/>
          <w:iCs/>
          <w:sz w:val="22"/>
          <w:szCs w:val="22"/>
        </w:rPr>
      </w:pPr>
      <w:r w:rsidRPr="005015F2">
        <w:rPr>
          <w:rFonts w:ascii="Times New Roman" w:hAnsi="Times New Roman"/>
          <w:b/>
          <w:sz w:val="22"/>
        </w:rPr>
        <w:t>Fundamentos da alteração dos termos da(s) autorização(ões) de introdução no mercado</w:t>
      </w:r>
    </w:p>
    <w:p w:rsidR="00EB1210" w:rsidRPr="005015F2" w:rsidP="00EB1210" w14:paraId="0E1BA89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015F2" w:rsidP="00EB1210" w14:paraId="44E75321" w14:textId="6F3CE49F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5015F2">
        <w:rPr>
          <w:rFonts w:ascii="Times New Roman" w:hAnsi="Times New Roman"/>
          <w:sz w:val="22"/>
        </w:rPr>
        <w:t>Com base nas conclusões científicas relativas a {substância(s) ativa(s) incluída(s) na lista EURD}, o CMDh considera que o perfil benefício-risco do(s) medicamento(s) que contém (contêm) {substância(s) ativa(s) incluída(s) na lista EURD} se mantém inalterado na condição de serem introduzidas as alterações propostas na informação do medicamento.</w:t>
      </w:r>
    </w:p>
    <w:p w:rsidR="0048373D" w:rsidRPr="005015F2" w:rsidP="00EB1210" w14:paraId="796CFDC3" w14:textId="6905A812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5015F2">
        <w:rPr>
          <w:rFonts w:ascii="Times New Roman" w:hAnsi="Times New Roman"/>
          <w:sz w:val="22"/>
        </w:rPr>
        <w:t>O CMDh recomenda a alteração dos termos da(s) autorização(ões) de introdução no mercado.</w:t>
      </w:r>
    </w:p>
    <w:p w:rsidR="0048373D" w:rsidRPr="005015F2" w:rsidP="00EB1210" w14:paraId="65502DC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015F2" w:rsidP="00EB1210" w14:paraId="4FFA1D5D" w14:textId="1299CC57">
      <w:pPr>
        <w:rPr>
          <w:rFonts w:ascii="Times New Roman" w:hAnsi="Times New Roman"/>
          <w:iCs/>
          <w:color w:val="339966"/>
          <w:sz w:val="22"/>
          <w:szCs w:val="22"/>
        </w:rPr>
      </w:pPr>
      <w:r w:rsidRPr="005015F2">
        <w:rPr>
          <w:rFonts w:ascii="Times New Roman" w:hAnsi="Times New Roman"/>
          <w:color w:val="339966"/>
          <w:sz w:val="22"/>
          <w:lang w:eastAsia="x-none"/>
        </w:rPr>
        <w:t>[OPTION 2: CMDh disagrees]</w:t>
      </w:r>
    </w:p>
    <w:p w:rsidR="0048373D" w:rsidRPr="005015F2" w:rsidP="00EB1210" w14:paraId="49455758" w14:textId="00D66D59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015F2">
        <w:rPr>
          <w:rFonts w:ascii="Times New Roman" w:hAnsi="Times New Roman"/>
          <w:sz w:val="22"/>
        </w:rPr>
        <w:t xml:space="preserve">Tendo </w:t>
      </w:r>
      <w:r w:rsidR="009B3370">
        <w:rPr>
          <w:rFonts w:ascii="Times New Roman" w:hAnsi="Times New Roman"/>
          <w:sz w:val="22"/>
        </w:rPr>
        <w:t>analisado</w:t>
      </w:r>
      <w:r w:rsidRPr="005015F2">
        <w:rPr>
          <w:rFonts w:ascii="Times New Roman" w:hAnsi="Times New Roman"/>
          <w:sz w:val="22"/>
        </w:rPr>
        <w:t xml:space="preserve"> a recomendação do PRAC, o CMDh não concorda com as conclusões gerais do PRAC nem com os fundamentos da sua recomendação.</w:t>
      </w:r>
    </w:p>
    <w:p w:rsidR="0048373D" w:rsidRPr="005015F2" w:rsidP="00EB1210" w14:paraId="0434ADA7" w14:textId="77777777">
      <w:pPr>
        <w:rPr>
          <w:rFonts w:ascii="Times New Roman" w:hAnsi="Times New Roman"/>
          <w:i/>
          <w:color w:val="339966"/>
          <w:sz w:val="22"/>
          <w:szCs w:val="22"/>
          <w:lang w:eastAsia="x-none"/>
        </w:rPr>
      </w:pPr>
    </w:p>
    <w:p w:rsidR="0048373D" w:rsidRPr="005015F2" w:rsidP="00EB1210" w14:paraId="73F69B9C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5015F2">
        <w:rPr>
          <w:rFonts w:ascii="Times New Roman" w:hAnsi="Times New Roman"/>
          <w:sz w:val="22"/>
          <w:u w:val="single"/>
        </w:rPr>
        <w:t>Explicação detalhada dos fundamentos científicos para as diferenças relativamente à recomendação do PRAC</w:t>
      </w:r>
    </w:p>
    <w:p w:rsidR="00362122" w:rsidRPr="005015F2" w:rsidP="00EB1210" w14:paraId="7EE235C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62122" w:rsidRPr="005015F2" w:rsidP="00EB1210" w14:paraId="032716D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015F2">
        <w:rPr>
          <w:rFonts w:ascii="Times New Roman" w:hAnsi="Times New Roman"/>
          <w:sz w:val="22"/>
        </w:rPr>
        <w:t>{texto}</w:t>
      </w:r>
    </w:p>
    <w:p w:rsidR="00362122" w:rsidRPr="005015F2" w:rsidP="00EB1210" w14:paraId="3F4FE00A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015F2" w:rsidP="00EB1210" w14:paraId="4C3BCD7E" w14:textId="3D2D9D7D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015F2">
        <w:rPr>
          <w:rFonts w:ascii="Times New Roman" w:hAnsi="Times New Roman"/>
          <w:sz w:val="22"/>
        </w:rPr>
        <w:t xml:space="preserve">Tendo em conta a recomendação do PRAC &lt;e a </w:t>
      </w:r>
      <w:r w:rsidR="009B3370">
        <w:rPr>
          <w:rFonts w:ascii="Times New Roman" w:hAnsi="Times New Roman"/>
          <w:sz w:val="22"/>
        </w:rPr>
        <w:t>discussão</w:t>
      </w:r>
      <w:r w:rsidRPr="005015F2">
        <w:rPr>
          <w:rFonts w:ascii="Times New Roman" w:hAnsi="Times New Roman"/>
          <w:sz w:val="22"/>
        </w:rPr>
        <w:t xml:space="preserve"> do CMDh &gt;, o CMDh considera</w:t>
      </w:r>
    </w:p>
    <w:p w:rsidR="0048373D" w:rsidRPr="005015F2" w:rsidP="00EB1210" w14:paraId="2D4732E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FA0BB7" w:rsidP="00EB1210" w14:paraId="1F781FAF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  <w:lang w:val="en-US"/>
        </w:rPr>
      </w:pPr>
      <w:r w:rsidRPr="00FA0BB7">
        <w:rPr>
          <w:rFonts w:ascii="Times New Roman" w:hAnsi="Times New Roman"/>
          <w:i w:val="0"/>
          <w:lang w:val="en-US"/>
        </w:rPr>
        <w:t>[In case of recommendation to maintain the marketing authorisation]</w:t>
      </w:r>
    </w:p>
    <w:p w:rsidR="0048373D" w:rsidRPr="005015F2" w:rsidP="00EB1210" w14:paraId="5E6441A8" w14:textId="7DC5E1A0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5015F2">
        <w:rPr>
          <w:rFonts w:ascii="Times New Roman" w:hAnsi="Times New Roman"/>
          <w:snapToGrid w:val="0"/>
          <w:sz w:val="22"/>
        </w:rPr>
        <w:t>&lt;que o perfil benefício-risco dos medicamentos que contêm {substância(s) ativa(s) incluída(s) na lista EURD} se mantém inalterado e recomenda, por &lt;consenso&gt;&lt;decisão</w:t>
      </w:r>
      <w:r w:rsidR="002C3C64">
        <w:rPr>
          <w:rFonts w:ascii="Times New Roman" w:hAnsi="Times New Roman"/>
          <w:snapToGrid w:val="0"/>
          <w:sz w:val="22"/>
        </w:rPr>
        <w:t xml:space="preserve"> por</w:t>
      </w:r>
      <w:r w:rsidRPr="005015F2">
        <w:rPr>
          <w:rFonts w:ascii="Times New Roman" w:hAnsi="Times New Roman"/>
          <w:snapToGrid w:val="0"/>
          <w:sz w:val="22"/>
        </w:rPr>
        <w:t xml:space="preserve"> maioria&gt;, a manutenção da(s) autorização(ões) de introdução no mercado&gt;.</w:t>
      </w:r>
    </w:p>
    <w:p w:rsidR="00F735C1" w:rsidRPr="005015F2" w:rsidP="00EB1210" w14:paraId="139555B7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FA0BB7" w:rsidP="00EB1210" w14:paraId="4737B601" w14:textId="77777777">
      <w:pPr>
        <w:pStyle w:val="DraftingNotesAgency"/>
        <w:keepNext/>
        <w:spacing w:after="0" w:line="240" w:lineRule="auto"/>
        <w:rPr>
          <w:rFonts w:ascii="Times New Roman" w:hAnsi="Times New Roman"/>
          <w:bCs/>
          <w:i w:val="0"/>
          <w:iCs/>
          <w:szCs w:val="22"/>
          <w:lang w:val="en-US"/>
        </w:rPr>
      </w:pPr>
      <w:r w:rsidRPr="00FA0BB7">
        <w:rPr>
          <w:rFonts w:ascii="Times New Roman" w:hAnsi="Times New Roman"/>
          <w:i w:val="0"/>
          <w:lang w:val="en-US"/>
        </w:rPr>
        <w:t>[In case of recommendation to vary the marketing authorisation]</w:t>
      </w:r>
    </w:p>
    <w:p w:rsidR="0048373D" w:rsidRPr="005015F2" w:rsidP="00EB1210" w14:paraId="3F4E1463" w14:textId="10ED558B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5015F2">
        <w:rPr>
          <w:rFonts w:ascii="Times New Roman" w:hAnsi="Times New Roman"/>
          <w:snapToGrid w:val="0"/>
          <w:sz w:val="22"/>
        </w:rPr>
        <w:t xml:space="preserve">&lt;que o perfil benefício-risco dos medicamentos que contêm {substância(s) ativa(s) incluída(s) na lista EURD} se mantém inalterado e recomenda, por &lt;consenso&gt;&lt;decisão </w:t>
      </w:r>
      <w:r w:rsidR="00A423AB">
        <w:rPr>
          <w:rFonts w:ascii="Times New Roman" w:hAnsi="Times New Roman"/>
          <w:snapToGrid w:val="0"/>
          <w:sz w:val="22"/>
        </w:rPr>
        <w:t>por</w:t>
      </w:r>
      <w:r w:rsidRPr="005015F2">
        <w:rPr>
          <w:rFonts w:ascii="Times New Roman" w:hAnsi="Times New Roman"/>
          <w:snapToGrid w:val="0"/>
          <w:sz w:val="22"/>
        </w:rPr>
        <w:t xml:space="preserve"> maioria&gt;, que os termos da(s) autorização(ões) de introdução no mercado devem ser alterados do seguinte modo:&gt;</w:t>
      </w:r>
    </w:p>
    <w:p w:rsidR="00362122" w:rsidRPr="005015F2" w:rsidP="00EB1210" w14:paraId="52850B2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52D41" w:rsidRPr="005015F2" w:rsidP="00752D41" w14:paraId="61B58B66" w14:textId="29F110EB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015F2">
        <w:rPr>
          <w:rFonts w:ascii="Times New Roman" w:hAnsi="Times New Roman"/>
          <w:sz w:val="22"/>
        </w:rPr>
        <w:t xml:space="preserve">&lt;Atualização da secção {n} &lt;e {n}&gt; do RCM para adicionar &lt;a reação adversa {x} com uma frequência {y}&gt; &lt;uma advertência sobre {z}&gt;&lt;...&gt;. &lt;O </w:t>
      </w:r>
      <w:r w:rsidR="009B3370">
        <w:rPr>
          <w:rFonts w:ascii="Times New Roman" w:hAnsi="Times New Roman"/>
          <w:sz w:val="22"/>
        </w:rPr>
        <w:t>f</w:t>
      </w:r>
      <w:r w:rsidRPr="005015F2">
        <w:rPr>
          <w:rFonts w:ascii="Times New Roman" w:hAnsi="Times New Roman"/>
          <w:sz w:val="22"/>
        </w:rPr>
        <w:t xml:space="preserve">olheto </w:t>
      </w:r>
      <w:r w:rsidR="009B3370">
        <w:rPr>
          <w:rFonts w:ascii="Times New Roman" w:hAnsi="Times New Roman"/>
          <w:sz w:val="22"/>
        </w:rPr>
        <w:t>i</w:t>
      </w:r>
      <w:r w:rsidRPr="005015F2">
        <w:rPr>
          <w:rFonts w:ascii="Times New Roman" w:hAnsi="Times New Roman"/>
          <w:sz w:val="22"/>
        </w:rPr>
        <w:t>nformativo é atualizado em conformidade.&gt;&gt;</w:t>
      </w:r>
    </w:p>
    <w:p w:rsidR="00362122" w:rsidRPr="005015F2" w:rsidP="00EB1210" w14:paraId="441DC5F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5015F2" w:rsidP="00EB1210" w14:paraId="1973ADD1" w14:textId="3D616659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015F2">
        <w:rPr>
          <w:rFonts w:ascii="Times New Roman" w:hAnsi="Times New Roman"/>
          <w:sz w:val="22"/>
        </w:rPr>
        <w:t>&lt;As condições impostas à Autorização de Introdução no Mercado são as seguintes:&gt;</w:t>
      </w:r>
    </w:p>
    <w:p w:rsidR="0048373D" w:rsidRPr="005015F2" w:rsidP="00EB1210" w14:paraId="05DFDE68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FA0BB7" w:rsidP="00EB1210" w14:paraId="7863E716" w14:textId="74DC9996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  <w:lang w:val="en-US"/>
        </w:rPr>
      </w:pPr>
      <w:r w:rsidRPr="00FA0BB7">
        <w:rPr>
          <w:rFonts w:ascii="Times New Roman" w:hAnsi="Times New Roman"/>
          <w:i w:val="0"/>
          <w:lang w:val="en-US"/>
        </w:rPr>
        <w:t>[In case the CMDh departs from the PRAC on follow-up requirements]</w:t>
      </w:r>
    </w:p>
    <w:p w:rsidR="0048373D" w:rsidRPr="005015F2" w:rsidP="00EB1210" w14:paraId="2BA536BF" w14:textId="7CCA10EF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015F2">
        <w:rPr>
          <w:rFonts w:ascii="Times New Roman" w:hAnsi="Times New Roman"/>
          <w:sz w:val="22"/>
        </w:rPr>
        <w:t xml:space="preserve">&lt;Além disso, o(s) </w:t>
      </w:r>
      <w:r w:rsidR="009B3370">
        <w:rPr>
          <w:rFonts w:ascii="Times New Roman" w:hAnsi="Times New Roman"/>
          <w:sz w:val="22"/>
        </w:rPr>
        <w:t>T</w:t>
      </w:r>
      <w:r w:rsidRPr="005015F2">
        <w:rPr>
          <w:rFonts w:ascii="Times New Roman" w:hAnsi="Times New Roman"/>
          <w:sz w:val="22"/>
        </w:rPr>
        <w:t xml:space="preserve">itular(es) da(s) AIM deve(m) também abordar </w:t>
      </w:r>
      <w:r w:rsidR="009B3370">
        <w:rPr>
          <w:rFonts w:ascii="Times New Roman" w:hAnsi="Times New Roman"/>
          <w:sz w:val="22"/>
        </w:rPr>
        <w:t>o</w:t>
      </w:r>
      <w:r w:rsidRPr="005015F2">
        <w:rPr>
          <w:rFonts w:ascii="Times New Roman" w:hAnsi="Times New Roman"/>
          <w:sz w:val="22"/>
        </w:rPr>
        <w:t xml:space="preserve">s seguintes </w:t>
      </w:r>
      <w:r w:rsidR="009B3370">
        <w:rPr>
          <w:rFonts w:ascii="Times New Roman" w:hAnsi="Times New Roman"/>
          <w:sz w:val="22"/>
        </w:rPr>
        <w:t>aspetos</w:t>
      </w:r>
      <w:r w:rsidRPr="005015F2">
        <w:rPr>
          <w:rFonts w:ascii="Times New Roman" w:hAnsi="Times New Roman"/>
          <w:sz w:val="22"/>
        </w:rPr>
        <w:t xml:space="preserve"> no próximo RPS:</w:t>
      </w:r>
    </w:p>
    <w:p w:rsidR="0048373D" w:rsidRPr="005015F2" w:rsidP="003021A0" w14:paraId="7C320BAF" w14:textId="5C4EE024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5015F2">
        <w:rPr>
          <w:rFonts w:ascii="Times New Roman" w:hAnsi="Times New Roman"/>
          <w:color w:val="339966"/>
          <w:sz w:val="22"/>
        </w:rPr>
        <w:t>[list]</w:t>
      </w:r>
      <w:r w:rsidRPr="005015F2">
        <w:rPr>
          <w:rFonts w:ascii="Times New Roman" w:hAnsi="Times New Roman"/>
          <w:sz w:val="22"/>
        </w:rPr>
        <w:t>&gt;</w:t>
      </w:r>
    </w:p>
    <w:p w:rsidR="003021A0" w:rsidRPr="005015F2" w:rsidP="003021A0" w14:paraId="54B3FB1E" w14:textId="1A73A16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015F2">
        <w:rPr>
          <w:rFonts w:ascii="Times New Roman" w:hAnsi="Times New Roman"/>
          <w:sz w:val="22"/>
        </w:rPr>
        <w:t xml:space="preserve">&lt;Além disso, o(s) </w:t>
      </w:r>
      <w:r w:rsidR="009B3370">
        <w:rPr>
          <w:rFonts w:ascii="Times New Roman" w:hAnsi="Times New Roman"/>
          <w:sz w:val="22"/>
        </w:rPr>
        <w:t>T</w:t>
      </w:r>
      <w:r w:rsidRPr="005015F2">
        <w:rPr>
          <w:rFonts w:ascii="Times New Roman" w:hAnsi="Times New Roman"/>
          <w:sz w:val="22"/>
        </w:rPr>
        <w:t xml:space="preserve">itular(es) da(s) AIM deve(m) apresentar um PGR atualizado no prazo de </w:t>
      </w:r>
      <w:r w:rsidRPr="005015F2" w:rsidR="00A65A3A">
        <w:rPr>
          <w:rFonts w:ascii="Times New Roman" w:hAnsi="Times New Roman"/>
          <w:sz w:val="22"/>
        </w:rPr>
        <w:t>{x}</w:t>
      </w:r>
      <w:r w:rsidRPr="005015F2">
        <w:rPr>
          <w:rFonts w:ascii="Times New Roman" w:hAnsi="Times New Roman"/>
          <w:sz w:val="22"/>
        </w:rPr>
        <w:t xml:space="preserve"> meses, de modo a abordar </w:t>
      </w:r>
      <w:r w:rsidR="009B3370">
        <w:rPr>
          <w:rFonts w:ascii="Times New Roman" w:hAnsi="Times New Roman"/>
          <w:sz w:val="22"/>
        </w:rPr>
        <w:t>o</w:t>
      </w:r>
      <w:r w:rsidRPr="005015F2">
        <w:rPr>
          <w:rFonts w:ascii="Times New Roman" w:hAnsi="Times New Roman"/>
          <w:sz w:val="22"/>
        </w:rPr>
        <w:t xml:space="preserve">s seguintes </w:t>
      </w:r>
      <w:r w:rsidR="009B3370">
        <w:rPr>
          <w:rFonts w:ascii="Times New Roman" w:hAnsi="Times New Roman"/>
          <w:sz w:val="22"/>
        </w:rPr>
        <w:t>aspetos</w:t>
      </w:r>
      <w:r w:rsidRPr="005015F2">
        <w:rPr>
          <w:rFonts w:ascii="Times New Roman" w:hAnsi="Times New Roman"/>
          <w:sz w:val="22"/>
        </w:rPr>
        <w:t>:</w:t>
      </w:r>
    </w:p>
    <w:p w:rsidR="003021A0" w:rsidRPr="005015F2" w:rsidP="003021A0" w14:paraId="17B5844B" w14:textId="77777777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5015F2">
        <w:rPr>
          <w:rFonts w:ascii="Times New Roman" w:hAnsi="Times New Roman"/>
          <w:color w:val="339966"/>
          <w:sz w:val="22"/>
        </w:rPr>
        <w:t>[list]</w:t>
      </w:r>
      <w:r w:rsidRPr="005015F2">
        <w:rPr>
          <w:rFonts w:ascii="Times New Roman" w:hAnsi="Times New Roman"/>
          <w:sz w:val="22"/>
        </w:rPr>
        <w:t>&gt;</w:t>
      </w:r>
    </w:p>
    <w:p w:rsidR="00965742" w:rsidRPr="005015F2" w:rsidP="00F46CF7" w14:paraId="693CDDEA" w14:textId="77777777">
      <w:pPr>
        <w:pStyle w:val="BodytextAgency"/>
        <w:jc w:val="center"/>
        <w:rPr>
          <w:rFonts w:ascii="Times New Roman" w:hAnsi="Times New Roman"/>
          <w:sz w:val="22"/>
          <w:szCs w:val="22"/>
        </w:rPr>
      </w:pPr>
      <w:r w:rsidRPr="005015F2">
        <w:br w:type="page"/>
      </w:r>
    </w:p>
    <w:p w:rsidR="00965742" w:rsidRPr="005015F2" w:rsidP="00F46CF7" w14:paraId="5F1A3BB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F46CF7" w14:paraId="0C71AF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F46CF7" w14:paraId="0076E5C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F46CF7" w14:paraId="6C59AC2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F46CF7" w14:paraId="472D47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015F2" w:rsidP="00F46CF7" w14:paraId="2F20CD9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015F2" w:rsidP="00F46CF7" w14:paraId="187CE4B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F46CF7" w14:paraId="0A600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F46CF7" w14:paraId="20B7F7E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F46CF7" w14:paraId="4CADEA6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F46CF7" w14:paraId="47054B1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F46CF7" w14:paraId="311E0ED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015F2" w:rsidP="00F46CF7" w14:paraId="692B258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015F2" w:rsidP="00F46CF7" w14:paraId="374B1EA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015F2" w:rsidP="00F46CF7" w14:paraId="57E2F2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015F2" w:rsidP="00F46CF7" w14:paraId="389087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015F2" w:rsidP="00F46CF7" w14:paraId="1BBDB1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015F2" w:rsidP="00F46CF7" w14:paraId="57533FB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015F2" w:rsidP="00F46CF7" w14:paraId="2FC0BA2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015F2" w:rsidP="00F46CF7" w14:paraId="0FB2667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015F2" w:rsidP="00F46CF7" w14:paraId="4A1216E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5015F2" w:rsidP="00F46CF7" w14:paraId="3305B2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B42D1" w:rsidRPr="005015F2" w:rsidP="00F46CF7" w14:paraId="40103B0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0D12C1" w14:paraId="7C903CE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015F2">
        <w:rPr>
          <w:rFonts w:ascii="Times New Roman" w:hAnsi="Times New Roman"/>
          <w:sz w:val="22"/>
        </w:rPr>
        <w:t>Anexo II</w:t>
      </w:r>
    </w:p>
    <w:p w:rsidR="000D12C1" w:rsidRPr="005015F2" w:rsidP="000D12C1" w14:paraId="447DA0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5015F2" w:rsidP="000D12C1" w14:paraId="22729BE5" w14:textId="084C60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015F2">
        <w:rPr>
          <w:rFonts w:ascii="Times New Roman" w:hAnsi="Times New Roman"/>
          <w:b/>
          <w:sz w:val="22"/>
        </w:rPr>
        <w:t xml:space="preserve">Alterações à </w:t>
      </w:r>
      <w:r w:rsidR="00E40E9C">
        <w:rPr>
          <w:rFonts w:ascii="Times New Roman" w:hAnsi="Times New Roman"/>
          <w:b/>
          <w:sz w:val="22"/>
        </w:rPr>
        <w:t>i</w:t>
      </w:r>
      <w:r w:rsidRPr="005015F2">
        <w:rPr>
          <w:rFonts w:ascii="Times New Roman" w:hAnsi="Times New Roman"/>
          <w:b/>
          <w:sz w:val="22"/>
        </w:rPr>
        <w:t xml:space="preserve">nformação do </w:t>
      </w:r>
      <w:r w:rsidR="00E40E9C">
        <w:rPr>
          <w:rFonts w:ascii="Times New Roman" w:hAnsi="Times New Roman"/>
          <w:b/>
          <w:sz w:val="22"/>
        </w:rPr>
        <w:t>m</w:t>
      </w:r>
      <w:r w:rsidRPr="005015F2">
        <w:rPr>
          <w:rFonts w:ascii="Times New Roman" w:hAnsi="Times New Roman"/>
          <w:b/>
          <w:sz w:val="22"/>
        </w:rPr>
        <w:t>edicamento do(s) medicamento(s) autorizado(s) por meio de procedimentos nacionais</w:t>
      </w:r>
    </w:p>
    <w:p w:rsidR="00C15B44" w:rsidRPr="005015F2" w:rsidP="00C15B44" w14:paraId="21D3735D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FA0BB7" w:rsidP="00965742" w14:paraId="47FD8217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5015F2" w:rsidP="004B1FB9" w14:paraId="637474E2" w14:textId="77777777">
      <w:pPr>
        <w:rPr>
          <w:rFonts w:ascii="Times New Roman" w:eastAsia="Verdana" w:hAnsi="Times New Roman"/>
          <w:b/>
          <w:bCs/>
          <w:kern w:val="32"/>
          <w:sz w:val="22"/>
          <w:szCs w:val="22"/>
        </w:rPr>
      </w:pPr>
      <w:r w:rsidRPr="005015F2">
        <w:br w:type="page"/>
      </w:r>
    </w:p>
    <w:p w:rsidR="004B1FB9" w:rsidRPr="005015F2" w:rsidP="00B86D3D" w14:paraId="0B294764" w14:textId="4B5A38F6">
      <w:pPr>
        <w:pStyle w:val="Style1"/>
      </w:pPr>
      <w:r w:rsidRPr="005015F2">
        <w:t>&lt;</w:t>
      </w:r>
      <w:r w:rsidRPr="005015F2">
        <w:rPr>
          <w:b/>
        </w:rPr>
        <w:t>Alterações a incluir nas secções relevantes d</w:t>
      </w:r>
      <w:r w:rsidR="00E40E9C">
        <w:rPr>
          <w:b/>
        </w:rPr>
        <w:t>a</w:t>
      </w:r>
      <w:r w:rsidRPr="005015F2">
        <w:rPr>
          <w:b/>
        </w:rPr>
        <w:t xml:space="preserve"> </w:t>
      </w:r>
      <w:r w:rsidR="00D13B80">
        <w:rPr>
          <w:b/>
        </w:rPr>
        <w:t>I</w:t>
      </w:r>
      <w:r w:rsidR="00E40E9C">
        <w:rPr>
          <w:b/>
        </w:rPr>
        <w:t xml:space="preserve">nformação do </w:t>
      </w:r>
      <w:r w:rsidR="00D13B80">
        <w:rPr>
          <w:b/>
        </w:rPr>
        <w:t>M</w:t>
      </w:r>
      <w:r w:rsidR="00E40E9C">
        <w:rPr>
          <w:b/>
        </w:rPr>
        <w:t xml:space="preserve">edicamento </w:t>
      </w:r>
      <w:r w:rsidRPr="005015F2">
        <w:t xml:space="preserve">(novo texto </w:t>
      </w:r>
      <w:r w:rsidRPr="005015F2">
        <w:rPr>
          <w:b/>
          <w:u w:val="single"/>
        </w:rPr>
        <w:t>sublinhado e a negrito</w:t>
      </w:r>
      <w:r w:rsidRPr="005015F2">
        <w:t xml:space="preserve">, texto a ser eliminado </w:t>
      </w:r>
      <w:r w:rsidRPr="005015F2">
        <w:rPr>
          <w:strike/>
        </w:rPr>
        <w:t>rasurado</w:t>
      </w:r>
      <w:r w:rsidRPr="005015F2">
        <w:t>)&gt;</w:t>
      </w:r>
    </w:p>
    <w:p w:rsidR="004B1FB9" w:rsidRPr="005015F2" w:rsidP="004B1FB9" w14:paraId="49A48BB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5015F2" w:rsidP="004B1FB9" w14:paraId="4891A54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5015F2" w:rsidP="004B1FB9" w14:paraId="167E89E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5015F2">
        <w:rPr>
          <w:rFonts w:ascii="Times New Roman" w:hAnsi="Times New Roman"/>
          <w:b/>
          <w:sz w:val="22"/>
        </w:rPr>
        <w:t>&lt;Resumo das Características do Medicamento&gt;</w:t>
      </w:r>
    </w:p>
    <w:p w:rsidR="004B1FB9" w:rsidRPr="005015F2" w:rsidP="004B1FB9" w14:paraId="0F7D5F7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5015F2" w:rsidP="004B1FB9" w14:paraId="57C39445" w14:textId="77777777">
      <w:pPr>
        <w:rPr>
          <w:rFonts w:ascii="Times New Roman" w:hAnsi="Times New Roman"/>
          <w:sz w:val="22"/>
          <w:szCs w:val="22"/>
        </w:rPr>
      </w:pPr>
      <w:r w:rsidRPr="005015F2">
        <w:rPr>
          <w:rFonts w:ascii="Times New Roman" w:hAnsi="Times New Roman"/>
          <w:b/>
          <w:sz w:val="22"/>
        </w:rPr>
        <w:t>&lt;Folheto Informativo&gt;</w:t>
      </w:r>
    </w:p>
    <w:p w:rsidR="004B1FB9" w:rsidRPr="005015F2" w:rsidP="004B1FB9" w14:paraId="051BFE93" w14:textId="77777777">
      <w:pPr>
        <w:rPr>
          <w:rFonts w:ascii="Times New Roman" w:hAnsi="Times New Roman"/>
          <w:sz w:val="22"/>
          <w:szCs w:val="22"/>
        </w:rPr>
      </w:pPr>
    </w:p>
    <w:p w:rsidR="00CA32DE" w:rsidRPr="00FA0BB7" w:rsidP="00965742" w14:paraId="1E020946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FA0BB7" w:rsidP="00965742" w14:paraId="4F2A7AED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965742" w:rsidRPr="005015F2" w:rsidP="00BF3F05" w14:paraId="2BBAAE4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5015F2">
        <w:br w:type="page"/>
      </w:r>
    </w:p>
    <w:p w:rsidR="00965742" w:rsidRPr="005015F2" w:rsidP="00BF3F05" w14:paraId="33BD1E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BF3F05" w14:paraId="794FC6B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BF3F05" w14:paraId="048746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BF3F05" w14:paraId="54B4FFA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BF3F05" w14:paraId="3EC115F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015F2" w:rsidP="00BF3F05" w14:paraId="107587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5015F2" w:rsidP="00BF3F05" w14:paraId="07CB703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BF3F05" w14:paraId="229BD9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BF3F05" w14:paraId="4FF5B03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BF3F05" w14:paraId="1F761E7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BF3F05" w14:paraId="117AEDE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BF3F05" w14:paraId="3405A5B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D1456" w:rsidRPr="005015F2" w:rsidP="00BF3F05" w14:paraId="57B40F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015F2" w:rsidP="00BF3F05" w14:paraId="31D4409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015F2" w:rsidP="00BF3F05" w14:paraId="36BE582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015F2" w:rsidP="00BF3F05" w14:paraId="3F491A66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015F2" w:rsidP="00BF3F05" w14:paraId="72869E6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015F2" w:rsidP="00BF3F05" w14:paraId="3177F671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015F2" w:rsidP="0050417E" w14:paraId="62360DD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015F2" w:rsidP="0050417E" w14:paraId="4EBEB5B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015F2" w:rsidP="0050417E" w14:paraId="054D426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5015F2" w:rsidP="0050417E" w14:paraId="7FF97A5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5015F2" w:rsidP="0050417E" w14:paraId="06EF388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5015F2" w:rsidP="0050417E" w14:paraId="20D6CD9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015F2">
        <w:rPr>
          <w:rFonts w:ascii="Times New Roman" w:hAnsi="Times New Roman"/>
          <w:sz w:val="22"/>
        </w:rPr>
        <w:t>&lt;Anexo III&gt;</w:t>
      </w:r>
    </w:p>
    <w:p w:rsidR="0056494F" w:rsidRPr="005015F2" w:rsidP="0056494F" w14:paraId="6B9A1B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5015F2" w:rsidP="0056494F" w14:paraId="121A40CC" w14:textId="7BF78178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015F2">
        <w:rPr>
          <w:rFonts w:ascii="Times New Roman" w:hAnsi="Times New Roman"/>
          <w:b/>
          <w:sz w:val="22"/>
        </w:rPr>
        <w:t>&lt;Condições relativas à</w:t>
      </w:r>
      <w:r w:rsidR="00E40E9C">
        <w:rPr>
          <w:rFonts w:ascii="Times New Roman" w:hAnsi="Times New Roman"/>
          <w:b/>
          <w:sz w:val="22"/>
        </w:rPr>
        <w:t>(s)</w:t>
      </w:r>
      <w:r w:rsidRPr="005015F2">
        <w:rPr>
          <w:rFonts w:ascii="Times New Roman" w:hAnsi="Times New Roman"/>
          <w:b/>
          <w:sz w:val="22"/>
        </w:rPr>
        <w:t xml:space="preserve"> Autorização</w:t>
      </w:r>
      <w:r w:rsidRPr="005015F2" w:rsidR="00E40E9C">
        <w:rPr>
          <w:rFonts w:ascii="Times New Roman" w:hAnsi="Times New Roman"/>
          <w:b/>
          <w:sz w:val="22"/>
        </w:rPr>
        <w:t xml:space="preserve">(ões) </w:t>
      </w:r>
      <w:r w:rsidRPr="005015F2">
        <w:rPr>
          <w:rFonts w:ascii="Times New Roman" w:hAnsi="Times New Roman"/>
          <w:b/>
          <w:sz w:val="22"/>
        </w:rPr>
        <w:t>de Introdução no Mercado&gt;</w:t>
      </w:r>
    </w:p>
    <w:p w:rsidR="00965742" w:rsidRPr="005015F2" w:rsidP="00BF3F05" w14:paraId="143487B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015F2">
        <w:br w:type="page"/>
      </w:r>
    </w:p>
    <w:p w:rsidR="00965742" w:rsidRPr="005015F2" w:rsidP="00BF3F05" w14:paraId="3E46198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015F2" w:rsidP="00BF3F05" w14:paraId="224EC29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015F2" w:rsidP="00BF3F05" w14:paraId="428BCD3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015F2" w:rsidP="00BF3F05" w14:paraId="084C467F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5015F2" w:rsidP="00BF3F05" w14:paraId="71391A4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5015F2" w:rsidP="00BF3F05" w14:paraId="36B0F83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015F2" w:rsidP="00BF3F05" w14:paraId="3E2F56A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015F2" w:rsidP="00BF3F05" w14:paraId="391B5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015F2" w:rsidP="00BF3F05" w14:paraId="6957661E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015F2" w:rsidP="00BF3F05" w14:paraId="58F583B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015F2" w:rsidP="00BF3F05" w14:paraId="5DCBA04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5015F2" w:rsidP="00BF3F05" w14:paraId="67D0D3F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015F2" w:rsidP="00BF3F05" w14:paraId="516023C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015F2" w:rsidP="00BF3F05" w14:paraId="7048CDC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015F2" w:rsidP="00BF3F05" w14:paraId="340C02C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015F2" w:rsidP="00BF3F05" w14:paraId="4BD31C8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015F2" w:rsidP="00BF3F05" w14:paraId="7CFB370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015F2" w:rsidP="00BF3F05" w14:paraId="4C7AA6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015F2" w:rsidP="00BF3F05" w14:paraId="1863233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015F2" w:rsidP="00BF3F05" w14:paraId="2E4B1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5015F2" w:rsidP="00BF3F05" w14:paraId="5FD0DA1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5015F2" w:rsidP="0050417E" w14:paraId="24672ECC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6B42D1" w:rsidRPr="005015F2" w:rsidP="0050417E" w14:paraId="7FB57A3D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965742" w:rsidRPr="005015F2" w:rsidP="000D12C1" w14:paraId="6A4B911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015F2">
        <w:rPr>
          <w:rFonts w:ascii="Times New Roman" w:hAnsi="Times New Roman"/>
          <w:sz w:val="22"/>
        </w:rPr>
        <w:t>Anexo &lt;III&gt; &lt;IV&gt;</w:t>
      </w:r>
    </w:p>
    <w:p w:rsidR="000D12C1" w:rsidRPr="005015F2" w:rsidP="000D12C1" w14:paraId="7009753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14751D" w:rsidRPr="005015F2" w:rsidP="000D12C1" w14:paraId="35E3C89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015F2">
        <w:rPr>
          <w:rFonts w:ascii="Times New Roman" w:hAnsi="Times New Roman"/>
          <w:b/>
          <w:sz w:val="22"/>
        </w:rPr>
        <w:t>Calendário para a implementação da presente posição</w:t>
      </w:r>
    </w:p>
    <w:p w:rsidR="00F62CF6" w:rsidRPr="005015F2" w:rsidP="00965742" w14:paraId="7E92B5BF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AB1D85" w:rsidRPr="005015F2" w:rsidP="004B1FB9" w14:paraId="5D535460" w14:textId="77777777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5015F2">
        <w:br w:type="page"/>
      </w:r>
      <w:r w:rsidRPr="005015F2">
        <w:rPr>
          <w:rFonts w:ascii="Times New Roman" w:hAnsi="Times New Roman"/>
          <w:b/>
          <w:sz w:val="22"/>
        </w:rPr>
        <w:t>Calendário para a implementação da presente posição</w:t>
      </w:r>
    </w:p>
    <w:p w:rsidR="00CA32DE" w:rsidRPr="005015F2" w:rsidP="00AB1D85" w14:paraId="60D8C79B" w14:textId="77777777">
      <w:pPr>
        <w:pStyle w:val="BodytextAgency"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val="x-none" w:eastAsia="x-none"/>
        </w:rPr>
      </w:pPr>
    </w:p>
    <w:p w:rsidR="00CA32DE" w:rsidRPr="005015F2" w:rsidP="001254AC" w14:paraId="776E7240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2"/>
        <w:gridCol w:w="4541"/>
      </w:tblGrid>
      <w:tr w14:paraId="6F66E887" w14:textId="77777777" w:rsidTr="00CA32D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06" w:type="dxa"/>
            <w:shd w:val="clear" w:color="auto" w:fill="auto"/>
            <w:vAlign w:val="center"/>
          </w:tcPr>
          <w:p w:rsidR="00CA32DE" w:rsidRPr="005015F2" w:rsidP="00346263" w14:paraId="6322057F" w14:textId="77777777">
            <w:pPr>
              <w:pStyle w:val="BodytextAgency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015F2">
              <w:rPr>
                <w:rFonts w:ascii="Times New Roman" w:hAnsi="Times New Roman"/>
                <w:sz w:val="22"/>
              </w:rPr>
              <w:t>Adoção da posição do CMDh:</w:t>
            </w:r>
          </w:p>
          <w:p w:rsidR="00CA32DE" w:rsidRPr="005015F2" w:rsidP="001254AC" w14:paraId="2B39C9E8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5015F2" w:rsidP="001254AC" w14:paraId="63038AEB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5015F2">
              <w:rPr>
                <w:rFonts w:ascii="Times New Roman" w:hAnsi="Times New Roman"/>
                <w:sz w:val="22"/>
              </w:rPr>
              <w:t>Reunião do CMDh de{mês/ ano}</w:t>
            </w:r>
          </w:p>
          <w:p w:rsidR="00CA32DE" w:rsidRPr="005015F2" w:rsidP="001254AC" w14:paraId="19F537B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6D9841FD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5015F2" w:rsidP="001254AC" w14:paraId="59F371B6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5015F2">
              <w:rPr>
                <w:rFonts w:ascii="Times New Roman" w:hAnsi="Times New Roman"/>
                <w:sz w:val="22"/>
              </w:rPr>
              <w:t>Transmissão às Autoridades Nacionais Competentes das traduções dos anexos da posição:</w:t>
            </w:r>
          </w:p>
          <w:p w:rsidR="001254AC" w:rsidRPr="005015F2" w:rsidP="001254AC" w14:paraId="6B5E37E5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5015F2" w:rsidP="001254AC" w14:paraId="189331CC" w14:textId="5CA02824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5015F2">
              <w:rPr>
                <w:rFonts w:ascii="Times New Roman" w:hAnsi="Times New Roman"/>
                <w:sz w:val="22"/>
              </w:rPr>
              <w:t>{DD/MM/AAAA}</w:t>
            </w:r>
          </w:p>
          <w:p w:rsidR="00CA32DE" w:rsidRPr="005015F2" w:rsidP="001254AC" w14:paraId="61EA1E46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331114F5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5015F2" w:rsidP="00141D66" w14:paraId="7A67A83C" w14:textId="5F480623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5015F2">
              <w:rPr>
                <w:rFonts w:ascii="Times New Roman" w:hAnsi="Times New Roman"/>
                <w:sz w:val="22"/>
              </w:rPr>
              <w:t xml:space="preserve">Implementação da posição pelos Estados-Membros (apresentação da alteração pelo </w:t>
            </w:r>
            <w:r w:rsidR="00D13B80">
              <w:rPr>
                <w:rFonts w:ascii="Times New Roman" w:hAnsi="Times New Roman"/>
                <w:sz w:val="22"/>
              </w:rPr>
              <w:t>T</w:t>
            </w:r>
            <w:r w:rsidRPr="005015F2">
              <w:rPr>
                <w:rFonts w:ascii="Times New Roman" w:hAnsi="Times New Roman"/>
                <w:sz w:val="22"/>
              </w:rPr>
              <w:t>itular da Autorização de Introdução no Mercado):</w:t>
            </w:r>
          </w:p>
          <w:p w:rsidR="001254AC" w:rsidRPr="005015F2" w:rsidP="001254AC" w14:paraId="75ADF297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BE4475" w:rsidRPr="005015F2" w:rsidP="001254AC" w14:paraId="2D40812B" w14:textId="0730D5AF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5015F2">
              <w:rPr>
                <w:rFonts w:ascii="Times New Roman" w:hAnsi="Times New Roman"/>
                <w:sz w:val="22"/>
              </w:rPr>
              <w:t>{DD/MM/AAAA}</w:t>
            </w:r>
          </w:p>
          <w:p w:rsidR="00CA32DE" w:rsidRPr="005015F2" w:rsidP="001254AC" w14:paraId="1EA8214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</w:tbl>
    <w:p w:rsidR="00CA32DE" w:rsidRPr="005015F2" w:rsidP="001254AC" w14:paraId="315DBA05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p w:rsidR="00CA32DE" w:rsidRPr="005015F2" w:rsidP="00965742" w14:paraId="73B62270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sectPr w:rsidSect="008E331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134" w:right="1418" w:bottom="1134" w:left="1418" w:header="284" w:footer="68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5015F2" w14:paraId="5ABCE7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A2B" w:rsidRPr="005015F2" w:rsidP="00A91ECC" w14:paraId="03ECD86A" w14:textId="29826E9B">
    <w:pPr>
      <w:pStyle w:val="Footer"/>
      <w:jc w:val="center"/>
    </w:pPr>
    <w:r w:rsidRPr="005015F2">
      <w:fldChar w:fldCharType="begin"/>
    </w:r>
    <w:r w:rsidRPr="005015F2">
      <w:instrText xml:space="preserve"> PAGE   \* MERGEFORMAT </w:instrText>
    </w:r>
    <w:r w:rsidRPr="005015F2">
      <w:fldChar w:fldCharType="separate"/>
    </w:r>
    <w:r w:rsidRPr="005015F2" w:rsidR="00B965C6">
      <w:t>7</w:t>
    </w:r>
    <w:r w:rsidRPr="005015F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5015F2" w:rsidP="00C82F72" w14:paraId="0FC3989B" w14:textId="77777777">
    <w:pPr>
      <w:pStyle w:val="FooterAgency"/>
      <w:jc w:val="center"/>
    </w:pPr>
    <w:r w:rsidRPr="005015F2">
      <w:fldChar w:fldCharType="begin"/>
    </w:r>
    <w:r w:rsidRPr="005015F2">
      <w:instrText xml:space="preserve"> PAGE  \* Arabic  \* MERGEFORMAT </w:instrText>
    </w:r>
    <w:r w:rsidRPr="005015F2">
      <w:fldChar w:fldCharType="separate"/>
    </w:r>
    <w:r w:rsidRPr="005015F2" w:rsidR="00AF10F5">
      <w:t>3</w:t>
    </w:r>
    <w:r w:rsidRPr="005015F2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5015F2" w14:paraId="2AD349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5015F2" w14:paraId="7B66AC8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5015F2" w:rsidP="00B636AF" w14:paraId="4AA1D3E9" w14:textId="77777777">
    <w:pPr>
      <w:pStyle w:val="Head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4">
    <w:nsid w:val="4CA75CC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5704" w:allStyles="0" w:alternateStyleNames="0" w:clearFormatting="1" w:customStyles="0" w:directFormattingOnNumbering="1" w:directFormattingOnParagraphs="1" w:directFormattingOnRuns="1" w:directFormattingOnTables="0" w:headingStyles="0" w:latentStyles="1" w:numberingStyles="0" w:stylesInUse="0" w:tableStyles="0" w:top3HeadingStyles="0" w:visibleStyles="1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F6"/>
    <w:rsid w:val="000317BA"/>
    <w:rsid w:val="00054692"/>
    <w:rsid w:val="00087AF4"/>
    <w:rsid w:val="000A08A4"/>
    <w:rsid w:val="000D12C1"/>
    <w:rsid w:val="000E7524"/>
    <w:rsid w:val="001254AC"/>
    <w:rsid w:val="00141D66"/>
    <w:rsid w:val="00144B88"/>
    <w:rsid w:val="0014751D"/>
    <w:rsid w:val="001526F7"/>
    <w:rsid w:val="00164398"/>
    <w:rsid w:val="002C3C64"/>
    <w:rsid w:val="002E245C"/>
    <w:rsid w:val="003021A0"/>
    <w:rsid w:val="00334EA3"/>
    <w:rsid w:val="00346263"/>
    <w:rsid w:val="00362122"/>
    <w:rsid w:val="00390525"/>
    <w:rsid w:val="003A566B"/>
    <w:rsid w:val="003D27EF"/>
    <w:rsid w:val="003F513C"/>
    <w:rsid w:val="003F5175"/>
    <w:rsid w:val="004243C2"/>
    <w:rsid w:val="0048373D"/>
    <w:rsid w:val="004873DF"/>
    <w:rsid w:val="0049597B"/>
    <w:rsid w:val="004B1B5C"/>
    <w:rsid w:val="004B1FB9"/>
    <w:rsid w:val="004E1C0A"/>
    <w:rsid w:val="004E74C6"/>
    <w:rsid w:val="005015F2"/>
    <w:rsid w:val="0050417E"/>
    <w:rsid w:val="0056494F"/>
    <w:rsid w:val="005831CC"/>
    <w:rsid w:val="005C1E61"/>
    <w:rsid w:val="005E16A2"/>
    <w:rsid w:val="005E4F6E"/>
    <w:rsid w:val="00603F36"/>
    <w:rsid w:val="00611CD3"/>
    <w:rsid w:val="006648A3"/>
    <w:rsid w:val="006B42D1"/>
    <w:rsid w:val="00751387"/>
    <w:rsid w:val="00752D41"/>
    <w:rsid w:val="0075635E"/>
    <w:rsid w:val="007621CA"/>
    <w:rsid w:val="00767C46"/>
    <w:rsid w:val="00774777"/>
    <w:rsid w:val="00792532"/>
    <w:rsid w:val="007B29E2"/>
    <w:rsid w:val="007C0621"/>
    <w:rsid w:val="007C2E43"/>
    <w:rsid w:val="007D7FFE"/>
    <w:rsid w:val="007F7873"/>
    <w:rsid w:val="008262DE"/>
    <w:rsid w:val="00860675"/>
    <w:rsid w:val="00882274"/>
    <w:rsid w:val="008F4258"/>
    <w:rsid w:val="009316E2"/>
    <w:rsid w:val="00965742"/>
    <w:rsid w:val="009806DF"/>
    <w:rsid w:val="009A0639"/>
    <w:rsid w:val="009A6CAD"/>
    <w:rsid w:val="009B3370"/>
    <w:rsid w:val="009E375D"/>
    <w:rsid w:val="00A423AB"/>
    <w:rsid w:val="00A46A98"/>
    <w:rsid w:val="00A65A3A"/>
    <w:rsid w:val="00A91ECC"/>
    <w:rsid w:val="00AB1D85"/>
    <w:rsid w:val="00AF10F5"/>
    <w:rsid w:val="00B242A9"/>
    <w:rsid w:val="00B5561A"/>
    <w:rsid w:val="00B636AF"/>
    <w:rsid w:val="00B713B0"/>
    <w:rsid w:val="00B86D3D"/>
    <w:rsid w:val="00B965C6"/>
    <w:rsid w:val="00BA07E2"/>
    <w:rsid w:val="00BC5E91"/>
    <w:rsid w:val="00BE4475"/>
    <w:rsid w:val="00BF3F05"/>
    <w:rsid w:val="00BF5B29"/>
    <w:rsid w:val="00C15B44"/>
    <w:rsid w:val="00C2297A"/>
    <w:rsid w:val="00C53BB6"/>
    <w:rsid w:val="00C73035"/>
    <w:rsid w:val="00C82F72"/>
    <w:rsid w:val="00C94968"/>
    <w:rsid w:val="00CA32DE"/>
    <w:rsid w:val="00CF0AFB"/>
    <w:rsid w:val="00D13B80"/>
    <w:rsid w:val="00D516BB"/>
    <w:rsid w:val="00DA484F"/>
    <w:rsid w:val="00DD3A2B"/>
    <w:rsid w:val="00E256EE"/>
    <w:rsid w:val="00E40E9C"/>
    <w:rsid w:val="00E80957"/>
    <w:rsid w:val="00EA78B7"/>
    <w:rsid w:val="00EB1210"/>
    <w:rsid w:val="00ED1456"/>
    <w:rsid w:val="00F13072"/>
    <w:rsid w:val="00F304FB"/>
    <w:rsid w:val="00F34442"/>
    <w:rsid w:val="00F46CF7"/>
    <w:rsid w:val="00F62CF6"/>
    <w:rsid w:val="00F735C1"/>
    <w:rsid w:val="00FA0BB7"/>
    <w:rsid w:val="00FA4068"/>
  </w:rsids>
  <w:docVars>
    <w:docVar w:name="TemplateVersion" w:val="February2010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AB4755-B40B-4EBD-B98D-AC0EDA42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SimSun" w:hAnsi="Verdana" w:cs="Times New Roman"/>
        <w:lang w:val="pt-P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qFormat="1"/>
    <w:lsdException w:name="Emphasis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rsid w:val="001856FF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1856FF"/>
    <w:pPr>
      <w:outlineLvl w:val="1"/>
    </w:pPr>
  </w:style>
  <w:style w:type="paragraph" w:styleId="Heading3">
    <w:name w:val="heading 3"/>
    <w:basedOn w:val="No-numheading3Agency"/>
    <w:next w:val="BodytextAgency"/>
    <w:qFormat/>
    <w:rsid w:val="001856FF"/>
    <w:pPr>
      <w:outlineLvl w:val="2"/>
    </w:pPr>
  </w:style>
  <w:style w:type="paragraph" w:styleId="Heading4">
    <w:name w:val="heading 4"/>
    <w:basedOn w:val="No-numheading4Agency"/>
    <w:next w:val="BodytextAgency"/>
    <w:qFormat/>
    <w:rsid w:val="001856FF"/>
    <w:pPr>
      <w:outlineLvl w:val="3"/>
    </w:pPr>
  </w:style>
  <w:style w:type="paragraph" w:styleId="Heading5">
    <w:name w:val="heading 5"/>
    <w:basedOn w:val="Normal"/>
    <w:next w:val="Normal"/>
    <w:qFormat/>
    <w:rsid w:val="001856FF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1856FF"/>
    <w:pPr>
      <w:outlineLvl w:val="5"/>
    </w:pPr>
  </w:style>
  <w:style w:type="paragraph" w:styleId="Heading7">
    <w:name w:val="heading 7"/>
    <w:basedOn w:val="No-numheading7Agency"/>
    <w:next w:val="BodytextAgency"/>
    <w:qFormat/>
    <w:rsid w:val="001856FF"/>
    <w:pPr>
      <w:outlineLvl w:val="6"/>
    </w:pPr>
  </w:style>
  <w:style w:type="paragraph" w:styleId="Heading8">
    <w:name w:val="heading 8"/>
    <w:basedOn w:val="No-numheading8Agency"/>
    <w:next w:val="BodytextAgency"/>
    <w:qFormat/>
    <w:rsid w:val="001856FF"/>
    <w:pPr>
      <w:outlineLvl w:val="7"/>
    </w:pPr>
  </w:style>
  <w:style w:type="paragraph" w:styleId="Heading9">
    <w:name w:val="heading 9"/>
    <w:basedOn w:val="No-numheading9Agency"/>
    <w:next w:val="BodytextAgency"/>
    <w:qFormat/>
    <w:rsid w:val="001856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link w:val="Footer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C94968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1856FF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C94968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eastAsia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1856FF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856FF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1856FF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E51159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qFormat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qFormat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1856FF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1856FF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1856FF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1856FF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1856FF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1856FF"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uiPriority w:val="99"/>
    <w:qFormat/>
    <w:rsid w:val="001856FF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024462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eastAsia="Times New Roman"/>
      <w:color w:val="FF0000"/>
      <w:sz w:val="17"/>
      <w:szCs w:val="17"/>
    </w:rPr>
  </w:style>
  <w:style w:type="paragraph" w:styleId="Header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character" w:customStyle="1" w:styleId="FooterChar">
    <w:name w:val="Footer Char"/>
    <w:link w:val="Footer"/>
    <w:uiPriority w:val="99"/>
    <w:locked/>
    <w:rsid w:val="00F62CF6"/>
    <w:rPr>
      <w:rFonts w:ascii="Arial" w:eastAsia="Times New Roman" w:hAnsi="Arial"/>
      <w:sz w:val="16"/>
      <w:lang w:eastAsia="en-US"/>
    </w:rPr>
  </w:style>
  <w:style w:type="character" w:styleId="CommentReference">
    <w:name w:val="annotation reference"/>
    <w:semiHidden/>
    <w:rsid w:val="007F7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7E9A"/>
  </w:style>
  <w:style w:type="paragraph" w:styleId="CommentSubject">
    <w:name w:val="annotation subject"/>
    <w:basedOn w:val="CommentText"/>
    <w:next w:val="CommentText"/>
    <w:link w:val="CommentSubjectChar"/>
    <w:semiHidden/>
    <w:rsid w:val="007F7E9A"/>
    <w:rPr>
      <w:b/>
      <w:bCs/>
    </w:rPr>
  </w:style>
  <w:style w:type="character" w:customStyle="1" w:styleId="CommentSubjectChar">
    <w:name w:val="Comment Subject Char"/>
    <w:link w:val="CommentSubject"/>
    <w:semiHidden/>
    <w:rsid w:val="007F7E9A"/>
    <w:rPr>
      <w:b/>
      <w:bCs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uiPriority w:val="99"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eastAsia="Verdana" w:cs="Verdana"/>
      <w:b/>
      <w:color w:val="003399"/>
      <w:sz w:val="18"/>
      <w:szCs w:val="18"/>
    </w:rPr>
  </w:style>
  <w:style w:type="paragraph" w:styleId="Revision">
    <w:name w:val="Revision"/>
    <w:hidden/>
    <w:uiPriority w:val="99"/>
    <w:semiHidden/>
    <w:rsid w:val="005E16A2"/>
    <w:rPr>
      <w:sz w:val="18"/>
      <w:szCs w:val="18"/>
    </w:rPr>
  </w:style>
  <w:style w:type="character" w:customStyle="1" w:styleId="DraftingNotesAgencyChar">
    <w:name w:val="Drafting Notes (Agency) Char"/>
    <w:link w:val="DraftingNotesAgency"/>
    <w:locked/>
    <w:rsid w:val="0048373D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locked/>
    <w:rsid w:val="0048373D"/>
    <w:rPr>
      <w:rFonts w:eastAsia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locked/>
    <w:rsid w:val="0048373D"/>
    <w:rPr>
      <w:rFonts w:eastAsia="Verdana" w:cs="Arial"/>
      <w:b/>
      <w:bCs/>
      <w:kern w:val="32"/>
      <w:sz w:val="22"/>
      <w:szCs w:val="22"/>
    </w:rPr>
  </w:style>
  <w:style w:type="paragraph" w:customStyle="1" w:styleId="Style1">
    <w:name w:val="Style1"/>
    <w:basedOn w:val="Normal"/>
    <w:qFormat/>
    <w:rsid w:val="00B86D3D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7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psusa-nationally-authorised-products-template_en</vt:lpstr>
      <vt:lpstr>psusa-nationally-authorised-products-template_en</vt:lpstr>
    </vt:vector>
  </TitlesOfParts>
  <Company>CDT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H_psusa_nap_PT</dc:title>
  <dc:creator>CDT</dc:creator>
  <dc:description>Template version: 8 August 2014</dc:description>
  <cp:lastModifiedBy>Akhtar Tia</cp:lastModifiedBy>
  <cp:revision>6</cp:revision>
  <cp:lastPrinted>2015-08-07T11:17:00Z</cp:lastPrinted>
  <dcterms:created xsi:type="dcterms:W3CDTF">2023-12-28T19:10:00Z</dcterms:created>
  <dcterms:modified xsi:type="dcterms:W3CDTF">2024-01-10T09:37:00Z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10/01/2024 10:37:41</vt:lpwstr>
  </property>
  <property fmtid="{D5CDD505-2E9C-101B-9397-08002B2CF9AE}" pid="5" name="DM_Creator_Name">
    <vt:lpwstr>Akhtar Timea</vt:lpwstr>
  </property>
  <property fmtid="{D5CDD505-2E9C-101B-9397-08002B2CF9AE}" pid="6" name="DM_DocRefId">
    <vt:lpwstr>EMA/6553/2024</vt:lpwstr>
  </property>
  <property fmtid="{D5CDD505-2E9C-101B-9397-08002B2CF9AE}" pid="7" name="DM_emea_doc_ref_id">
    <vt:lpwstr>EMA/6553/2024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10/01/2024 10:37:41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10/01/2024 10:37:41</vt:lpwstr>
  </property>
  <property fmtid="{D5CDD505-2E9C-101B-9397-08002B2CF9AE}" pid="15" name="DM_Name">
    <vt:lpwstr>H_psusa_nap_PT</vt:lpwstr>
  </property>
  <property fmtid="{D5CDD505-2E9C-101B-9397-08002B2CF9AE}" pid="16" name="DM_Path">
    <vt:lpwstr>/02b. Administration of Scientific Meeting/WPs SAGs DGs and other WGs/CxMP - QRD/3. Other activities/02. Procedures/02. Annexes and appendices/01. Annexes to PI/Annex PSUSAs NAPs templates/2023-10 Update/PSUSA NAP clean files for publication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2.1,CURRENT</vt:lpwstr>
  </property>
  <property fmtid="{D5CDD505-2E9C-101B-9397-08002B2CF9AE}" pid="22" name="MSIP_Label_0eea11ca-d417-4147-80ed-01a58412c458_ActionId">
    <vt:lpwstr>86583e03-70ea-4e79-81b3-298818141b08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2024-01-10T09:37:15Z</vt:lpwstr>
  </property>
  <property fmtid="{D5CDD505-2E9C-101B-9397-08002B2CF9AE}" pid="28" name="MSIP_Label_0eea11ca-d417-4147-80ed-01a58412c458_SiteId">
    <vt:lpwstr>bc9dc15c-61bc-4f03-b60b-e5b6d8922839</vt:lpwstr>
  </property>
</Properties>
</file>