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BE76FD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BE76FD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BE76FD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BE76FD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BE76FD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BE76FD">
        <w:rPr>
          <w:rFonts w:ascii="Times New Roman" w:hAnsi="Times New Roman"/>
        </w:rPr>
        <w:t>ANEXO IV</w:t>
      </w:r>
    </w:p>
    <w:p w:rsidR="00B66B04" w:rsidRPr="00A228E9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66B04" w:rsidRPr="00BE76FD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BE76FD">
        <w:rPr>
          <w:rFonts w:ascii="Times New Roman" w:hAnsi="Times New Roman"/>
        </w:rPr>
        <w:t>CONCLUSÕES CIENTÍFICAS E FUNDAMENTOS DA ALTERAÇÃO DOS TERMOS</w:t>
      </w:r>
    </w:p>
    <w:p w:rsidR="008E146B" w:rsidRPr="00BE76FD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BE76FD">
        <w:rPr>
          <w:rFonts w:ascii="Times New Roman" w:hAnsi="Times New Roman"/>
        </w:rPr>
        <w:t>DAS AUTORIZAÇÕES DE INTRODUÇÃO NO MERCADO</w:t>
      </w:r>
    </w:p>
    <w:p w:rsidR="00B66B04" w:rsidRPr="00A228E9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A11F98" w:rsidRPr="00A228E9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  <w:lang w:val="en-US"/>
        </w:rPr>
      </w:pPr>
      <w:r w:rsidRPr="00BE76FD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A228E9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  <w:lang w:val="en-US"/>
        </w:rPr>
      </w:pPr>
    </w:p>
    <w:p w:rsidR="009D60A3" w:rsidRPr="00BE76FD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BE76FD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BE76FD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7504E7">
        <w:br w:type="page"/>
      </w:r>
      <w:r w:rsidRPr="00BE76FD">
        <w:rPr>
          <w:rFonts w:ascii="Times New Roman" w:hAnsi="Times New Roman"/>
          <w:b/>
          <w:i w:val="0"/>
          <w:color w:val="auto"/>
        </w:rPr>
        <w:t>Conclusões científicas</w:t>
      </w:r>
    </w:p>
    <w:p w:rsidR="009B5CE6" w:rsidRPr="00A228E9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B5CE6" w:rsidRPr="00BE76FD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BE76FD">
        <w:rPr>
          <w:rFonts w:ascii="Times New Roman" w:hAnsi="Times New Roman"/>
          <w:i w:val="0"/>
          <w:color w:val="auto"/>
        </w:rPr>
        <w:t>Tendo em conta o relatório de avaliação do PRAC sobre o(s) RPS para {nome da(s) substância(s) ativa(s)}, as conclusões científicas do PRAC são as seguintes:</w:t>
      </w:r>
    </w:p>
    <w:p w:rsidR="008E146B" w:rsidRPr="00A228E9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</w:p>
    <w:p w:rsidR="008E146B" w:rsidRPr="001F7C5E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[Copy-paste from the</w:t>
      </w:r>
      <w:r w:rsidRPr="00A228E9">
        <w:rPr>
          <w:rFonts w:ascii="Times New Roman" w:hAnsi="Times New Roman"/>
          <w:i w:val="0"/>
          <w:lang w:val="en-US"/>
        </w:rPr>
        <w:t xml:space="preserve"> </w:t>
      </w:r>
      <w:r w:rsidRPr="00BE76FD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A228E9">
        <w:rPr>
          <w:rFonts w:ascii="Times New Roman" w:hAnsi="Times New Roman"/>
          <w:i w:val="0"/>
          <w:lang w:val="en-US"/>
        </w:rPr>
        <w:t>PSUR PRAC AR</w:t>
      </w:r>
      <w:r w:rsidRPr="00BE76FD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BE76FD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BE76FD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A228E9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BE76FD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A228E9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[OPTION 1: CHMP agrees]</w:t>
      </w:r>
    </w:p>
    <w:p w:rsidR="0072084C" w:rsidRPr="00BE76FD" w:rsidP="00E7370A" w14:paraId="29D61024" w14:textId="7C31190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>Tendo analisado a recomendação do PRAC, o CHMP concorda com as conclusões gerais do PRAC e com os fundamentos da sua recomendação.</w:t>
      </w:r>
    </w:p>
    <w:p w:rsidR="0072084C" w:rsidRPr="00BE76FD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BE76FD" w:rsidP="00E7370A" w14:paraId="267DB208" w14:textId="388B17D8">
      <w:pPr>
        <w:pStyle w:val="No-numheading3Agency"/>
        <w:spacing w:before="0" w:after="0"/>
        <w:rPr>
          <w:rFonts w:ascii="Times New Roman" w:hAnsi="Times New Roman"/>
        </w:rPr>
      </w:pPr>
      <w:r w:rsidRPr="00BE76FD">
        <w:rPr>
          <w:rFonts w:ascii="Times New Roman" w:hAnsi="Times New Roman"/>
        </w:rPr>
        <w:t>Fundamentos da alteração dos termos da(s) autorização(ões) de introdução no mercado</w:t>
      </w:r>
    </w:p>
    <w:p w:rsidR="009B5CE6" w:rsidRPr="00A228E9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E146B" w:rsidRPr="00BE76FD" w:rsidP="00E7370A" w14:paraId="53F66ACC" w14:textId="7CB9E7DC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>Com base nas conclusões científicas relativas a {nome da(s) substância(s) ativa(s)}, o CHMP considera que o perfil de benefício-risco do(s) medicamento(s) que contém (contêm) {nome da(s) substância(s) ativa(s)} se mantém inalterad</w:t>
      </w:r>
      <w:r w:rsidR="00B56203">
        <w:rPr>
          <w:rFonts w:ascii="Times New Roman" w:hAnsi="Times New Roman"/>
          <w:sz w:val="22"/>
        </w:rPr>
        <w:t>o</w:t>
      </w:r>
      <w:r w:rsidRPr="00BE76FD">
        <w:rPr>
          <w:rFonts w:ascii="Times New Roman" w:hAnsi="Times New Roman"/>
          <w:sz w:val="22"/>
        </w:rPr>
        <w:t xml:space="preserve"> na condição de serem introduzidas as alterações propostas na informação do medicamento.</w:t>
      </w:r>
    </w:p>
    <w:p w:rsidR="009B5CE6" w:rsidRPr="00A228E9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D220ED" w:rsidRPr="00BE76FD" w:rsidP="00E7370A" w14:paraId="5D1B17D9" w14:textId="1EC4BA7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BE76FD">
        <w:rPr>
          <w:rFonts w:ascii="Times New Roman" w:hAnsi="Times New Roman"/>
          <w:snapToGrid w:val="0"/>
          <w:sz w:val="22"/>
        </w:rPr>
        <w:t>O CHMP recomenda a alteração dos termos da(s) autorização(ões) de introdução no mercado.</w:t>
      </w:r>
    </w:p>
    <w:p w:rsidR="0072084C" w:rsidRPr="00BE76FD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BE76FD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A228E9">
        <w:rPr>
          <w:rFonts w:ascii="Times New Roman" w:hAnsi="Times New Roman"/>
          <w:i w:val="0"/>
        </w:rPr>
        <w:t>[OPTION 2: CHMP disagrees]</w:t>
      </w:r>
    </w:p>
    <w:p w:rsidR="0072084C" w:rsidRPr="00BE76FD" w:rsidP="00E7370A" w14:paraId="761F8CA6" w14:textId="5D12369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>Tendo analisado a recomendação do PRAC, o CHMP não concorda com as conclusões gerais do PRAC nem com os fundamentos da sua recomendação.</w:t>
      </w:r>
    </w:p>
    <w:p w:rsidR="0072084C" w:rsidRPr="00BE76FD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BE76FD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BE76FD">
        <w:rPr>
          <w:rFonts w:ascii="Times New Roman" w:hAnsi="Times New Roman"/>
          <w:sz w:val="22"/>
          <w:u w:val="single"/>
        </w:rPr>
        <w:t>Explicação detalhada dos fundamentos científicos para as diferenças relativamente à recomendação do PRAC</w:t>
      </w:r>
    </w:p>
    <w:p w:rsidR="0072084C" w:rsidRPr="00A228E9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A228E9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A228E9" w:rsidP="004873DF" w14:paraId="3BD9F988" w14:textId="77777777">
      <w:pPr>
        <w:pStyle w:val="BodytextAgency"/>
        <w:spacing w:after="0" w:line="240" w:lineRule="auto"/>
        <w:rPr>
          <w:lang w:val="en-US"/>
        </w:rPr>
      </w:pPr>
    </w:p>
    <w:p w:rsidR="0072084C" w:rsidRPr="00BE76FD" w:rsidP="004873DF" w14:paraId="4A151DF2" w14:textId="02546C9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 xml:space="preserve">Tendo em conta a recomendação do PRAC &lt;e </w:t>
      </w:r>
      <w:r w:rsidR="00A228E9">
        <w:rPr>
          <w:rFonts w:ascii="Times New Roman" w:hAnsi="Times New Roman"/>
          <w:sz w:val="22"/>
        </w:rPr>
        <w:t>a</w:t>
      </w:r>
      <w:r w:rsidRPr="00BE76FD">
        <w:rPr>
          <w:rFonts w:ascii="Times New Roman" w:hAnsi="Times New Roman"/>
          <w:sz w:val="22"/>
        </w:rPr>
        <w:t xml:space="preserve"> d</w:t>
      </w:r>
      <w:r w:rsidR="00A228E9">
        <w:rPr>
          <w:rFonts w:ascii="Times New Roman" w:hAnsi="Times New Roman"/>
          <w:sz w:val="22"/>
        </w:rPr>
        <w:t>iscussão</w:t>
      </w:r>
      <w:r w:rsidRPr="00BE76FD">
        <w:rPr>
          <w:rFonts w:ascii="Times New Roman" w:hAnsi="Times New Roman"/>
          <w:sz w:val="22"/>
        </w:rPr>
        <w:t xml:space="preserve"> do CHMP&gt;, o CHMP considera</w:t>
      </w:r>
    </w:p>
    <w:p w:rsidR="004873DF" w:rsidRPr="00BE76FD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A228E9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BE76FD" w:rsidP="004873DF" w14:paraId="72042AA6" w14:textId="7BD6515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BE76FD">
        <w:rPr>
          <w:rFonts w:ascii="Times New Roman" w:hAnsi="Times New Roman"/>
          <w:snapToGrid w:val="0"/>
          <w:sz w:val="22"/>
        </w:rPr>
        <w:t>&lt;que o perfil de risco-benefício dos medicamentos que contêm {nome da(s) substância(s) ativa(s)} se mantém inalterad</w:t>
      </w:r>
      <w:r w:rsidR="00A228E9">
        <w:rPr>
          <w:rFonts w:ascii="Times New Roman" w:hAnsi="Times New Roman"/>
          <w:snapToGrid w:val="0"/>
          <w:sz w:val="22"/>
        </w:rPr>
        <w:t>o</w:t>
      </w:r>
      <w:r w:rsidRPr="00BE76FD">
        <w:rPr>
          <w:rFonts w:ascii="Times New Roman" w:hAnsi="Times New Roman"/>
          <w:snapToGrid w:val="0"/>
          <w:sz w:val="22"/>
        </w:rPr>
        <w:t xml:space="preserve"> e recomenda, por &lt;consenso&gt;&lt;decisão por maioria&gt;, a manutenção da(s) autorização(ões) de introdução no mercado.&gt;</w:t>
      </w:r>
    </w:p>
    <w:p w:rsidR="004873DF" w:rsidRPr="00BE76FD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A228E9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BE76FD" w:rsidP="004873DF" w14:paraId="054A0853" w14:textId="67FA6B50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BE76FD">
        <w:rPr>
          <w:rFonts w:ascii="Times New Roman" w:hAnsi="Times New Roman"/>
          <w:snapToGrid w:val="0"/>
          <w:sz w:val="22"/>
        </w:rPr>
        <w:t>&lt;que o perfil de risco-benefício dos medicamentos que contêm {nome da(s) substância(s) ativa(s)} se mantém inalterad</w:t>
      </w:r>
      <w:r w:rsidR="00A228E9">
        <w:rPr>
          <w:rFonts w:ascii="Times New Roman" w:hAnsi="Times New Roman"/>
          <w:snapToGrid w:val="0"/>
          <w:sz w:val="22"/>
        </w:rPr>
        <w:t>o</w:t>
      </w:r>
      <w:r w:rsidRPr="00BE76FD">
        <w:rPr>
          <w:rFonts w:ascii="Times New Roman" w:hAnsi="Times New Roman"/>
          <w:snapToGrid w:val="0"/>
          <w:sz w:val="22"/>
        </w:rPr>
        <w:t>, mas recomenda, por &lt;consenso&gt;&lt;decisão por maioria&gt;, que os termos da(s) autorização(ões) de introdução no mercado sejam alterados do seguinte modo:</w:t>
      </w:r>
    </w:p>
    <w:p w:rsidR="0072084C" w:rsidRPr="00A228E9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A228E9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US"/>
        </w:rPr>
      </w:pPr>
    </w:p>
    <w:p w:rsidR="0072084C" w:rsidRPr="00A228E9" w:rsidP="004873DF" w14:paraId="767B05E8" w14:textId="01EE730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US"/>
        </w:rPr>
      </w:pPr>
      <w:r w:rsidRPr="00BE76FD">
        <w:rPr>
          <w:rFonts w:ascii="Times New Roman" w:hAnsi="Times New Roman"/>
          <w:sz w:val="22"/>
        </w:rPr>
        <w:t xml:space="preserve">&lt;Atualização da secção {n} &lt;e {n}&gt; do RCM para adicionar &lt;a reação adversa {x} com uma frequência {y}&gt; &lt;uma advertência sobre {z}&gt;&lt;…&gt;. </w:t>
      </w:r>
      <w:r w:rsidRPr="00A228E9">
        <w:rPr>
          <w:rFonts w:ascii="Times New Roman" w:hAnsi="Times New Roman"/>
          <w:sz w:val="22"/>
          <w:lang w:val="en-US"/>
        </w:rPr>
        <w:t xml:space="preserve">&lt;O </w:t>
      </w:r>
      <w:r w:rsidR="00FE6FBB">
        <w:rPr>
          <w:rFonts w:ascii="Times New Roman" w:hAnsi="Times New Roman"/>
          <w:sz w:val="22"/>
          <w:lang w:val="en-US"/>
        </w:rPr>
        <w:t>f</w:t>
      </w:r>
      <w:r w:rsidRPr="00A228E9">
        <w:rPr>
          <w:rFonts w:ascii="Times New Roman" w:hAnsi="Times New Roman"/>
          <w:sz w:val="22"/>
          <w:lang w:val="en-US"/>
        </w:rPr>
        <w:t xml:space="preserve">olheto </w:t>
      </w:r>
      <w:r w:rsidR="00FE6FBB">
        <w:rPr>
          <w:rFonts w:ascii="Times New Roman" w:hAnsi="Times New Roman"/>
          <w:sz w:val="22"/>
          <w:lang w:val="en-US"/>
        </w:rPr>
        <w:t>i</w:t>
      </w:r>
      <w:r w:rsidRPr="00FE6FBB">
        <w:rPr>
          <w:rFonts w:ascii="Times New Roman" w:hAnsi="Times New Roman"/>
          <w:sz w:val="22"/>
          <w:lang w:val="en-US"/>
        </w:rPr>
        <w:t>nformativo</w:t>
      </w:r>
      <w:r w:rsidRPr="00A228E9">
        <w:rPr>
          <w:rFonts w:ascii="Times New Roman" w:hAnsi="Times New Roman"/>
          <w:sz w:val="22"/>
          <w:lang w:val="en-US"/>
        </w:rPr>
        <w:t xml:space="preserve"> é atualizado em conformidade.&gt;&gt;</w:t>
      </w:r>
    </w:p>
    <w:p w:rsidR="00CF3502" w:rsidRPr="00BE76FD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A228E9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BE76FD" w:rsidP="004873DF" w14:paraId="24CB7F63" w14:textId="6F568BB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>&lt;As condições impostas à autorização de introdução no mercado são as seguintes:&gt;</w:t>
      </w:r>
    </w:p>
    <w:p w:rsidR="0072084C" w:rsidRPr="00BE76FD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A228E9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US"/>
        </w:rPr>
      </w:pPr>
      <w:r w:rsidRPr="00BE76FD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BE76FD" w:rsidP="004873DF" w14:paraId="28774868" w14:textId="6CEC4BE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 xml:space="preserve">&lt;Além disso, o(s) </w:t>
      </w:r>
      <w:r w:rsidRPr="00FE6FBB" w:rsidR="00A228E9">
        <w:rPr>
          <w:rFonts w:ascii="Times New Roman" w:hAnsi="Times New Roman"/>
          <w:sz w:val="22"/>
        </w:rPr>
        <w:t>T</w:t>
      </w:r>
      <w:r w:rsidRPr="00FE6FBB">
        <w:rPr>
          <w:rFonts w:ascii="Times New Roman" w:hAnsi="Times New Roman"/>
          <w:sz w:val="22"/>
        </w:rPr>
        <w:t>itular(es) da AIM</w:t>
      </w:r>
      <w:r w:rsidRPr="00BE76FD">
        <w:rPr>
          <w:rFonts w:ascii="Times New Roman" w:hAnsi="Times New Roman"/>
          <w:sz w:val="22"/>
        </w:rPr>
        <w:t xml:space="preserve"> deve(m) também abordar </w:t>
      </w:r>
      <w:r w:rsidR="005A4A95">
        <w:rPr>
          <w:rFonts w:ascii="Times New Roman" w:hAnsi="Times New Roman"/>
          <w:sz w:val="22"/>
        </w:rPr>
        <w:t xml:space="preserve">os </w:t>
      </w:r>
      <w:r w:rsidRPr="00BE76FD">
        <w:rPr>
          <w:rFonts w:ascii="Times New Roman" w:hAnsi="Times New Roman"/>
          <w:sz w:val="22"/>
        </w:rPr>
        <w:t xml:space="preserve">seguintes </w:t>
      </w:r>
      <w:r w:rsidR="005A4A95">
        <w:rPr>
          <w:rFonts w:ascii="Times New Roman" w:hAnsi="Times New Roman"/>
          <w:sz w:val="22"/>
        </w:rPr>
        <w:t>aspetos</w:t>
      </w:r>
      <w:r w:rsidRPr="00BE76FD">
        <w:rPr>
          <w:rFonts w:ascii="Times New Roman" w:hAnsi="Times New Roman"/>
          <w:sz w:val="22"/>
        </w:rPr>
        <w:t xml:space="preserve"> no próximo RPS:</w:t>
      </w:r>
    </w:p>
    <w:p w:rsidR="0072084C" w:rsidRPr="00BE76FD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color w:val="339966"/>
          <w:sz w:val="22"/>
          <w:lang w:val="en-GB"/>
        </w:rPr>
        <w:t>[list]</w:t>
      </w:r>
      <w:r w:rsidRPr="00BE76FD">
        <w:rPr>
          <w:rFonts w:ascii="Times New Roman" w:hAnsi="Times New Roman"/>
          <w:sz w:val="22"/>
          <w:lang w:val="en-GB"/>
        </w:rPr>
        <w:t>&gt;</w:t>
      </w:r>
    </w:p>
    <w:p w:rsidR="00F304FB" w:rsidRPr="00BE76FD" w:rsidP="00F304FB" w14:paraId="59AE0BC3" w14:textId="322DB56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sz w:val="22"/>
        </w:rPr>
        <w:t xml:space="preserve">&lt;Além disso, o(s) </w:t>
      </w:r>
      <w:r w:rsidR="005A4A95">
        <w:rPr>
          <w:rFonts w:ascii="Times New Roman" w:hAnsi="Times New Roman"/>
          <w:sz w:val="22"/>
        </w:rPr>
        <w:t>T</w:t>
      </w:r>
      <w:r w:rsidRPr="00BE76FD">
        <w:rPr>
          <w:rFonts w:ascii="Times New Roman" w:hAnsi="Times New Roman"/>
          <w:sz w:val="22"/>
        </w:rPr>
        <w:t xml:space="preserve">itular(es) da AIM deve(m) apresentar um </w:t>
      </w:r>
      <w:r w:rsidR="00FE6FBB">
        <w:rPr>
          <w:rFonts w:ascii="Times New Roman" w:hAnsi="Times New Roman"/>
          <w:sz w:val="22"/>
        </w:rPr>
        <w:t>PGR</w:t>
      </w:r>
      <w:r w:rsidRPr="00BE76FD">
        <w:rPr>
          <w:rFonts w:ascii="Times New Roman" w:hAnsi="Times New Roman"/>
          <w:sz w:val="22"/>
        </w:rPr>
        <w:t xml:space="preserve"> atualizado no prazo de </w:t>
      </w:r>
      <w:r w:rsidRPr="00BE76FD" w:rsidR="007504E7">
        <w:rPr>
          <w:rFonts w:ascii="Times New Roman" w:hAnsi="Times New Roman"/>
          <w:sz w:val="22"/>
        </w:rPr>
        <w:t>{x}</w:t>
      </w:r>
      <w:r w:rsidRPr="00BE76FD">
        <w:rPr>
          <w:rFonts w:ascii="Times New Roman" w:hAnsi="Times New Roman"/>
          <w:sz w:val="22"/>
        </w:rPr>
        <w:t xml:space="preserve"> meses, a fim de abordar </w:t>
      </w:r>
      <w:r w:rsidR="005A4A95">
        <w:rPr>
          <w:rFonts w:ascii="Times New Roman" w:hAnsi="Times New Roman"/>
          <w:sz w:val="22"/>
        </w:rPr>
        <w:t>o</w:t>
      </w:r>
      <w:r w:rsidRPr="00BE76FD">
        <w:rPr>
          <w:rFonts w:ascii="Times New Roman" w:hAnsi="Times New Roman"/>
          <w:sz w:val="22"/>
        </w:rPr>
        <w:t xml:space="preserve">s seguintes </w:t>
      </w:r>
      <w:r w:rsidR="005A4A95">
        <w:rPr>
          <w:rFonts w:ascii="Times New Roman" w:hAnsi="Times New Roman"/>
          <w:sz w:val="22"/>
        </w:rPr>
        <w:t>aspetos</w:t>
      </w:r>
      <w:r w:rsidRPr="00BE76FD">
        <w:rPr>
          <w:rFonts w:ascii="Times New Roman" w:hAnsi="Times New Roman"/>
          <w:sz w:val="22"/>
        </w:rPr>
        <w:t>:</w:t>
      </w:r>
    </w:p>
    <w:p w:rsidR="00F304FB" w:rsidRPr="00BE76FD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BE76FD">
        <w:rPr>
          <w:rFonts w:ascii="Times New Roman" w:hAnsi="Times New Roman"/>
          <w:color w:val="339966"/>
          <w:sz w:val="22"/>
          <w:lang w:val="en-GB"/>
        </w:rPr>
        <w:t>[list]</w:t>
      </w:r>
      <w:r w:rsidRPr="00BE76FD">
        <w:rPr>
          <w:rFonts w:ascii="Times New Roman" w:hAnsi="Times New Roman"/>
          <w:sz w:val="22"/>
          <w:lang w:val="en-GB"/>
        </w:rPr>
        <w:t>&gt;</w:t>
      </w:r>
    </w:p>
    <w:p w:rsidR="0072084C" w:rsidRPr="00BE76FD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BE76FD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BE76FD" w14:paraId="23A559AB" w14:textId="77777777">
    <w:pPr>
      <w:pStyle w:val="Footer"/>
      <w:jc w:val="center"/>
    </w:pPr>
    <w:r w:rsidRPr="00BE76FD">
      <w:fldChar w:fldCharType="begin"/>
    </w:r>
    <w:r w:rsidRPr="00BE76FD">
      <w:instrText xml:space="preserve"> PAGE   \* MERGEFORMAT </w:instrText>
    </w:r>
    <w:r w:rsidRPr="00BE76FD">
      <w:fldChar w:fldCharType="separate"/>
    </w:r>
    <w:r w:rsidRPr="00BE76FD" w:rsidR="003E591C">
      <w:t>3</w:t>
    </w:r>
    <w:r w:rsidRPr="00BE76FD">
      <w:fldChar w:fldCharType="end"/>
    </w:r>
  </w:p>
  <w:p w:rsidR="0008729F" w:rsidRPr="00BE76FD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BE76FD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BE76FD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BE76FD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BE76FD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BE76FD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BE76FD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07E7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1F7C5E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4F71DF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A4A95"/>
    <w:rsid w:val="005A5E81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04E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83CD8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8E9"/>
    <w:rsid w:val="00A22C40"/>
    <w:rsid w:val="00A306FC"/>
    <w:rsid w:val="00A31F1F"/>
    <w:rsid w:val="00A33E72"/>
    <w:rsid w:val="00A33F35"/>
    <w:rsid w:val="00A36399"/>
    <w:rsid w:val="00A40E41"/>
    <w:rsid w:val="00A44DCC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20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E76FD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465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1493"/>
    <w:rsid w:val="00FD3AAA"/>
    <w:rsid w:val="00FD66F0"/>
    <w:rsid w:val="00FD6C43"/>
    <w:rsid w:val="00FD7A91"/>
    <w:rsid w:val="00FE1428"/>
    <w:rsid w:val="00FE1866"/>
    <w:rsid w:val="00FE6FBB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pt-PT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HannexIVpsur_en</vt:lpstr>
      <vt:lpstr>HannexIVpsur_en</vt:lpstr>
    </vt:vector>
  </TitlesOfParts>
  <Company>CDT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HannexIVpsur_PT</dc:title>
  <dc:creator>CDT</dc:creator>
  <cp:lastModifiedBy>Akhtar Tia</cp:lastModifiedBy>
  <cp:revision>4</cp:revision>
  <cp:lastPrinted>2014-01-22T14:19:00Z</cp:lastPrinted>
  <dcterms:created xsi:type="dcterms:W3CDTF">2023-12-28T19:16:00Z</dcterms:created>
  <dcterms:modified xsi:type="dcterms:W3CDTF">2024-01-16T08:54:00Z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09:55:05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EMA/6584/2024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EMA/6584/2024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12:51:15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12:51:15</vt:lpwstr>
  </property>
  <property fmtid="{D5CDD505-2E9C-101B-9397-08002B2CF9AE}" pid="36" name="DM_Name">
    <vt:lpwstr>HannexIVpsur_PT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e963e788-bf1b-4de6-843b-6453bb3823a1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2024-01-16T08:54:58Z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